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w w:val="100"/>
          <w:sz w:val="44"/>
          <w:szCs w:val="44"/>
          <w:lang w:val="en-US" w:eastAsia="zh-CN"/>
        </w:rPr>
      </w:pPr>
      <w:r>
        <w:rPr>
          <w:rFonts w:hint="eastAsia" w:asciiTheme="majorEastAsia" w:hAnsiTheme="majorEastAsia" w:eastAsiaTheme="majorEastAsia"/>
          <w:b/>
          <w:bCs/>
          <w:color w:val="auto"/>
          <w:sz w:val="44"/>
          <w:szCs w:val="44"/>
          <w:lang w:val="en-US" w:eastAsia="zh-CN"/>
        </w:rPr>
        <w:t>202</w:t>
      </w:r>
      <w:r>
        <w:rPr>
          <w:rFonts w:hint="eastAsia" w:asciiTheme="majorEastAsia" w:hAnsiTheme="majorEastAsia" w:eastAsiaTheme="majorEastAsia"/>
          <w:b/>
          <w:bCs/>
          <w:color w:val="auto"/>
          <w:sz w:val="44"/>
          <w:szCs w:val="44"/>
          <w:highlight w:val="none"/>
          <w:lang w:val="en-US" w:eastAsia="zh-CN"/>
        </w:rPr>
        <w:t>3</w:t>
      </w:r>
      <w:r>
        <w:rPr>
          <w:rFonts w:hint="eastAsia" w:asciiTheme="majorEastAsia" w:hAnsiTheme="majorEastAsia" w:eastAsiaTheme="majorEastAsia"/>
          <w:b/>
          <w:bCs/>
          <w:color w:val="auto"/>
          <w:sz w:val="44"/>
          <w:szCs w:val="44"/>
          <w:lang w:val="en-US" w:eastAsia="zh-CN"/>
        </w:rPr>
        <w:t>年</w:t>
      </w:r>
      <w:r>
        <w:rPr>
          <w:rFonts w:hint="eastAsia" w:asciiTheme="majorEastAsia" w:hAnsiTheme="majorEastAsia" w:eastAsiaTheme="majorEastAsia"/>
          <w:b/>
          <w:bCs/>
          <w:color w:val="auto"/>
          <w:sz w:val="44"/>
          <w:szCs w:val="44"/>
        </w:rPr>
        <w:t>哈尔滨市</w:t>
      </w:r>
      <w:r>
        <w:rPr>
          <w:rFonts w:hint="eastAsia" w:ascii="宋体" w:hAnsi="宋体" w:eastAsia="宋体" w:cs="宋体"/>
          <w:b/>
          <w:bCs/>
          <w:color w:val="auto"/>
          <w:w w:val="100"/>
          <w:sz w:val="44"/>
          <w:szCs w:val="44"/>
          <w:lang w:val="en-US" w:eastAsia="zh-CN"/>
        </w:rPr>
        <w:t>居民</w:t>
      </w:r>
      <w:r>
        <w:rPr>
          <w:rFonts w:hint="eastAsia" w:asciiTheme="majorEastAsia" w:hAnsiTheme="majorEastAsia" w:eastAsiaTheme="majorEastAsia"/>
          <w:b/>
          <w:bCs/>
          <w:color w:val="auto"/>
          <w:sz w:val="44"/>
          <w:szCs w:val="44"/>
          <w:lang w:eastAsia="zh-CN"/>
        </w:rPr>
        <w:t>结算待遇</w:t>
      </w:r>
    </w:p>
    <w:p>
      <w:pPr>
        <w:spacing w:line="600" w:lineRule="exact"/>
        <w:ind w:firstLine="640" w:firstLineChars="200"/>
        <w:contextualSpacing/>
        <w:jc w:val="both"/>
        <w:rPr>
          <w:rFonts w:hint="eastAsia" w:ascii="仿宋" w:hAnsi="仿宋" w:eastAsia="仿宋" w:cs="仿宋"/>
          <w:color w:val="auto"/>
          <w:sz w:val="32"/>
          <w:szCs w:val="32"/>
        </w:rPr>
      </w:pPr>
    </w:p>
    <w:p>
      <w:pPr>
        <w:spacing w:line="600" w:lineRule="exact"/>
        <w:ind w:firstLine="640" w:firstLineChars="200"/>
        <w:contextualSpacing/>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城乡居民</w:t>
      </w:r>
      <w:r>
        <w:rPr>
          <w:rFonts w:hint="eastAsia" w:ascii="仿宋" w:hAnsi="仿宋" w:eastAsia="仿宋" w:cs="仿宋"/>
          <w:color w:val="auto"/>
          <w:sz w:val="32"/>
          <w:szCs w:val="32"/>
          <w:lang w:eastAsia="zh-CN"/>
        </w:rPr>
        <w:t>医保</w:t>
      </w:r>
      <w:r>
        <w:rPr>
          <w:rFonts w:hint="eastAsia" w:ascii="仿宋" w:hAnsi="仿宋" w:eastAsia="仿宋" w:cs="仿宋"/>
          <w:color w:val="auto"/>
          <w:sz w:val="32"/>
          <w:szCs w:val="32"/>
        </w:rPr>
        <w:t>待遇包括住院医疗待遇、特殊疾病门诊待遇、特殊慢性病门诊待遇、普通门诊待遇、生育医疗待遇、意外伤害门诊医疗待遇、</w:t>
      </w:r>
      <w:r>
        <w:rPr>
          <w:rFonts w:hint="eastAsia" w:ascii="仿宋" w:hAnsi="仿宋" w:eastAsia="仿宋" w:cs="仿宋"/>
          <w:color w:val="auto"/>
          <w:sz w:val="32"/>
          <w:szCs w:val="32"/>
          <w:lang w:eastAsia="zh-CN"/>
        </w:rPr>
        <w:t>高血压糖尿病门诊医疗待遇</w:t>
      </w:r>
      <w:r>
        <w:rPr>
          <w:rFonts w:hint="eastAsia" w:ascii="仿宋" w:hAnsi="仿宋" w:eastAsia="仿宋" w:cs="仿宋"/>
          <w:color w:val="auto"/>
          <w:sz w:val="32"/>
          <w:szCs w:val="32"/>
        </w:rPr>
        <w:t>。</w:t>
      </w:r>
    </w:p>
    <w:p>
      <w:pPr>
        <w:spacing w:line="600" w:lineRule="exact"/>
        <w:ind w:firstLine="964" w:firstLineChars="300"/>
        <w:contextualSpacing/>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最高支付限额</w:t>
      </w:r>
    </w:p>
    <w:p>
      <w:pPr>
        <w:spacing w:line="600" w:lineRule="exact"/>
        <w:ind w:firstLine="640" w:firstLineChars="200"/>
        <w:contextualSpacing/>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参保居民一个年度内发生符合城乡居民</w:t>
      </w:r>
      <w:r>
        <w:rPr>
          <w:rFonts w:hint="eastAsia" w:ascii="仿宋" w:hAnsi="仿宋" w:eastAsia="仿宋" w:cs="仿宋"/>
          <w:color w:val="auto"/>
          <w:sz w:val="32"/>
          <w:szCs w:val="32"/>
          <w:lang w:eastAsia="zh-CN"/>
        </w:rPr>
        <w:t>医保</w:t>
      </w:r>
      <w:r>
        <w:rPr>
          <w:rFonts w:hint="eastAsia" w:ascii="仿宋" w:hAnsi="仿宋" w:eastAsia="仿宋" w:cs="仿宋"/>
          <w:color w:val="auto"/>
          <w:sz w:val="32"/>
          <w:szCs w:val="32"/>
        </w:rPr>
        <w:t>统筹基金支付范围（以下称“统筹基金支付范围”）的医疗费用，城乡居民</w:t>
      </w:r>
      <w:r>
        <w:rPr>
          <w:rFonts w:hint="eastAsia" w:ascii="仿宋" w:hAnsi="仿宋" w:eastAsia="仿宋" w:cs="仿宋"/>
          <w:color w:val="auto"/>
          <w:sz w:val="32"/>
          <w:szCs w:val="32"/>
          <w:lang w:eastAsia="zh-CN"/>
        </w:rPr>
        <w:t>医保</w:t>
      </w:r>
      <w:r>
        <w:rPr>
          <w:rFonts w:hint="eastAsia" w:ascii="仿宋" w:hAnsi="仿宋" w:eastAsia="仿宋" w:cs="仿宋"/>
          <w:color w:val="auto"/>
          <w:sz w:val="32"/>
          <w:szCs w:val="32"/>
        </w:rPr>
        <w:t>统筹基金（以下称“统筹基金”）最高支付限额为18万元</w:t>
      </w:r>
      <w:r>
        <w:rPr>
          <w:rFonts w:hint="eastAsia" w:ascii="仿宋" w:hAnsi="仿宋" w:eastAsia="仿宋" w:cs="仿宋"/>
          <w:color w:val="auto"/>
          <w:sz w:val="32"/>
          <w:szCs w:val="32"/>
          <w:lang w:eastAsia="zh-CN"/>
        </w:rPr>
        <w:t>。</w:t>
      </w:r>
    </w:p>
    <w:p>
      <w:pPr>
        <w:spacing w:line="600" w:lineRule="exact"/>
        <w:ind w:firstLine="964" w:firstLineChars="300"/>
        <w:contextualSpacing/>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统筹基金支付范围</w:t>
      </w:r>
    </w:p>
    <w:p>
      <w:pPr>
        <w:spacing w:line="600" w:lineRule="exact"/>
        <w:ind w:firstLine="640" w:firstLineChars="20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rPr>
        <w:t>统筹基金支付范围包括《黑龙江省基本医疗保险、工伤保险和生育保险药品目录》、《黑龙江省基本医疗保险、工伤保险和生育保险诊疗项目和医疗服务设施项目目录》及社会保险法律法规规定的药品、诊疗项目和服务设施项目。</w:t>
      </w:r>
    </w:p>
    <w:p>
      <w:pPr>
        <w:rPr>
          <w:rFonts w:hint="eastAsia" w:ascii="仿宋" w:hAnsi="仿宋" w:eastAsia="仿宋" w:cs="仿宋"/>
          <w:b/>
          <w:bCs/>
          <w:color w:val="auto"/>
          <w:sz w:val="32"/>
          <w:szCs w:val="32"/>
          <w:lang w:val="en-US" w:eastAsia="zh-CN"/>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住院医疗待遇</w:t>
      </w:r>
    </w:p>
    <w:tbl>
      <w:tblPr>
        <w:tblStyle w:val="6"/>
        <w:tblW w:w="9139" w:type="dxa"/>
        <w:tblInd w:w="-298" w:type="dxa"/>
        <w:tblLayout w:type="fixed"/>
        <w:tblCellMar>
          <w:top w:w="0" w:type="dxa"/>
          <w:left w:w="108" w:type="dxa"/>
          <w:bottom w:w="0" w:type="dxa"/>
          <w:right w:w="108" w:type="dxa"/>
        </w:tblCellMar>
      </w:tblPr>
      <w:tblGrid>
        <w:gridCol w:w="1117"/>
        <w:gridCol w:w="2901"/>
        <w:gridCol w:w="900"/>
        <w:gridCol w:w="2004"/>
        <w:gridCol w:w="2217"/>
      </w:tblGrid>
      <w:tr>
        <w:tblPrEx>
          <w:tblCellMar>
            <w:top w:w="0" w:type="dxa"/>
            <w:left w:w="108" w:type="dxa"/>
            <w:bottom w:w="0" w:type="dxa"/>
            <w:right w:w="108" w:type="dxa"/>
          </w:tblCellMar>
        </w:tblPrEx>
        <w:trPr>
          <w:trHeight w:val="756" w:hRule="atLeast"/>
        </w:trPr>
        <w:tc>
          <w:tcPr>
            <w:tcW w:w="4018" w:type="dxa"/>
            <w:gridSpan w:val="2"/>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就医类别</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住院起付标准（元）</w:t>
            </w:r>
          </w:p>
        </w:tc>
        <w:tc>
          <w:tcPr>
            <w:tcW w:w="42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起付标准以上至最高支付限额以下统筹基金支付比例</w:t>
            </w:r>
          </w:p>
        </w:tc>
      </w:tr>
      <w:tr>
        <w:tblPrEx>
          <w:tblCellMar>
            <w:top w:w="0" w:type="dxa"/>
            <w:left w:w="108" w:type="dxa"/>
            <w:bottom w:w="0" w:type="dxa"/>
            <w:right w:w="108" w:type="dxa"/>
          </w:tblCellMar>
        </w:tblPrEx>
        <w:trPr>
          <w:trHeight w:val="811" w:hRule="atLeast"/>
        </w:trPr>
        <w:tc>
          <w:tcPr>
            <w:tcW w:w="4018" w:type="dxa"/>
            <w:gridSpan w:val="2"/>
            <w:vMerge w:val="continue"/>
            <w:tcBorders>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b/>
                <w:bCs/>
                <w:color w:val="auto"/>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b/>
                <w:bCs/>
                <w:color w:val="auto"/>
                <w:sz w:val="24"/>
                <w:szCs w:val="24"/>
              </w:rPr>
            </w:pPr>
          </w:p>
        </w:tc>
        <w:tc>
          <w:tcPr>
            <w:tcW w:w="2004" w:type="dxa"/>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hint="eastAsia" w:ascii="仿宋" w:hAnsi="仿宋" w:eastAsia="仿宋" w:cs="仿宋"/>
                <w:b/>
                <w:bCs/>
                <w:color w:val="auto"/>
                <w:sz w:val="24"/>
                <w:szCs w:val="24"/>
                <w:lang w:eastAsia="zh-CN"/>
              </w:rPr>
            </w:pPr>
          </w:p>
          <w:p>
            <w:pPr>
              <w:adjustRightInd/>
              <w:snapToGrid/>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学生儿童</w:t>
            </w:r>
          </w:p>
          <w:p>
            <w:pPr>
              <w:adjustRightInd/>
              <w:snapToGrid/>
              <w:spacing w:after="0"/>
              <w:jc w:val="center"/>
              <w:rPr>
                <w:rFonts w:hint="eastAsia" w:ascii="仿宋" w:hAnsi="仿宋" w:eastAsia="仿宋" w:cs="仿宋"/>
                <w:b/>
                <w:bCs/>
                <w:color w:val="auto"/>
                <w:sz w:val="24"/>
                <w:szCs w:val="24"/>
              </w:rPr>
            </w:pPr>
          </w:p>
        </w:tc>
        <w:tc>
          <w:tcPr>
            <w:tcW w:w="221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成人居民</w:t>
            </w:r>
          </w:p>
        </w:tc>
      </w:tr>
      <w:tr>
        <w:tblPrEx>
          <w:tblCellMar>
            <w:top w:w="0" w:type="dxa"/>
            <w:left w:w="108" w:type="dxa"/>
            <w:bottom w:w="0" w:type="dxa"/>
            <w:right w:w="108" w:type="dxa"/>
          </w:tblCellMar>
        </w:tblPrEx>
        <w:trPr>
          <w:trHeight w:val="486" w:hRule="atLeast"/>
        </w:trPr>
        <w:tc>
          <w:tcPr>
            <w:tcW w:w="11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哈市</w:t>
            </w:r>
          </w:p>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定点</w:t>
            </w:r>
          </w:p>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医院</w:t>
            </w:r>
          </w:p>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就医</w:t>
            </w:r>
          </w:p>
          <w:p>
            <w:pPr>
              <w:adjustRightInd/>
              <w:snapToGrid/>
              <w:spacing w:after="0"/>
              <w:jc w:val="center"/>
              <w:rPr>
                <w:rFonts w:hint="eastAsia" w:ascii="仿宋" w:hAnsi="仿宋" w:eastAsia="仿宋" w:cs="仿宋"/>
                <w:color w:val="auto"/>
                <w:sz w:val="24"/>
                <w:szCs w:val="24"/>
                <w:highlight w:val="none"/>
                <w:lang w:eastAsia="zh-CN"/>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rPr>
              <w:t>90%</w:t>
            </w:r>
          </w:p>
        </w:tc>
      </w:tr>
      <w:tr>
        <w:tblPrEx>
          <w:tblCellMar>
            <w:top w:w="0" w:type="dxa"/>
            <w:left w:w="108" w:type="dxa"/>
            <w:bottom w:w="0" w:type="dxa"/>
            <w:right w:w="108" w:type="dxa"/>
          </w:tblCellMar>
        </w:tblPrEx>
        <w:trPr>
          <w:trHeight w:val="44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90%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rPr>
              <w:t>90%</w:t>
            </w:r>
          </w:p>
        </w:tc>
      </w:tr>
      <w:tr>
        <w:tblPrEx>
          <w:tblCellMar>
            <w:top w:w="0" w:type="dxa"/>
            <w:left w:w="108" w:type="dxa"/>
            <w:bottom w:w="0" w:type="dxa"/>
            <w:right w:w="108" w:type="dxa"/>
          </w:tblCellMar>
        </w:tblPrEx>
        <w:trPr>
          <w:trHeight w:val="45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480</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r>
      <w:tr>
        <w:tblPrEx>
          <w:tblCellMar>
            <w:top w:w="0" w:type="dxa"/>
            <w:left w:w="108" w:type="dxa"/>
            <w:bottom w:w="0" w:type="dxa"/>
            <w:right w:w="108" w:type="dxa"/>
          </w:tblCellMar>
        </w:tblPrEx>
        <w:trPr>
          <w:trHeight w:val="431"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720</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w:t>
            </w:r>
          </w:p>
        </w:tc>
      </w:tr>
      <w:tr>
        <w:tblPrEx>
          <w:tblCellMar>
            <w:top w:w="0" w:type="dxa"/>
            <w:left w:w="108" w:type="dxa"/>
            <w:bottom w:w="0" w:type="dxa"/>
            <w:right w:w="108" w:type="dxa"/>
          </w:tblCellMar>
        </w:tblPrEx>
        <w:trPr>
          <w:trHeight w:val="442" w:hRule="atLeast"/>
        </w:trPr>
        <w:tc>
          <w:tcPr>
            <w:tcW w:w="1117" w:type="dxa"/>
            <w:vMerge w:val="continue"/>
            <w:tcBorders>
              <w:top w:val="single" w:color="auto" w:sz="4" w:space="0"/>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精神疾病患者在专科</w:t>
            </w:r>
            <w:r>
              <w:rPr>
                <w:rFonts w:hint="eastAsia" w:ascii="仿宋" w:hAnsi="仿宋" w:eastAsia="仿宋" w:cs="仿宋"/>
                <w:color w:val="auto"/>
                <w:sz w:val="24"/>
                <w:szCs w:val="24"/>
                <w:highlight w:val="none"/>
                <w:lang w:eastAsia="zh-CN"/>
              </w:rPr>
              <w:t>定点医院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200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85%</w:t>
            </w:r>
          </w:p>
        </w:tc>
      </w:tr>
      <w:tr>
        <w:tblPrEx>
          <w:tblCellMar>
            <w:top w:w="0" w:type="dxa"/>
            <w:left w:w="108" w:type="dxa"/>
            <w:bottom w:w="0" w:type="dxa"/>
            <w:right w:w="108" w:type="dxa"/>
          </w:tblCellMar>
        </w:tblPrEx>
        <w:trPr>
          <w:trHeight w:val="562"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肺结核患者在专科定点</w:t>
            </w:r>
            <w:r>
              <w:rPr>
                <w:rFonts w:hint="eastAsia" w:ascii="仿宋" w:hAnsi="仿宋" w:eastAsia="仿宋" w:cs="仿宋"/>
                <w:color w:val="auto"/>
                <w:sz w:val="24"/>
                <w:szCs w:val="24"/>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lang w:val="en-US" w:eastAsia="zh-CN"/>
              </w:rPr>
              <w:t>85%</w:t>
            </w:r>
          </w:p>
        </w:tc>
      </w:tr>
      <w:tr>
        <w:tblPrEx>
          <w:tblCellMar>
            <w:top w:w="0" w:type="dxa"/>
            <w:left w:w="108" w:type="dxa"/>
            <w:bottom w:w="0" w:type="dxa"/>
            <w:right w:w="108" w:type="dxa"/>
          </w:tblCellMar>
        </w:tblPrEx>
        <w:trPr>
          <w:trHeight w:val="496"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耐多药肺结核患者在专科定点</w:t>
            </w:r>
            <w:r>
              <w:rPr>
                <w:rFonts w:hint="eastAsia" w:ascii="仿宋" w:hAnsi="仿宋" w:eastAsia="仿宋" w:cs="仿宋"/>
                <w:color w:val="auto"/>
                <w:sz w:val="24"/>
                <w:szCs w:val="24"/>
                <w:lang w:eastAsia="zh-CN"/>
              </w:rPr>
              <w:t>医院</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left="0" w:leftChars="0" w:firstLine="0" w:firstLineChars="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lang w:val="en-US" w:eastAsia="zh-CN"/>
              </w:rPr>
              <w:t>90%</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bottom w:val="nil"/>
              <w:right w:val="single" w:color="auto" w:sz="4" w:space="0"/>
            </w:tcBorders>
            <w:vAlign w:val="center"/>
          </w:tcPr>
          <w:p>
            <w:pPr>
              <w:adjustRightInd/>
              <w:snapToGrid/>
              <w:spacing w:after="0"/>
              <w:rPr>
                <w:rFonts w:hint="eastAsia" w:ascii="仿宋" w:hAnsi="仿宋" w:eastAsia="仿宋" w:cs="仿宋"/>
                <w:color w:val="auto"/>
                <w:sz w:val="24"/>
                <w:szCs w:val="24"/>
                <w:highlight w:val="none"/>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其他传染病患者在传染病专科定点医院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70%</w:t>
            </w:r>
          </w:p>
        </w:tc>
      </w:tr>
      <w:tr>
        <w:tblPrEx>
          <w:tblCellMar>
            <w:top w:w="0" w:type="dxa"/>
            <w:left w:w="108" w:type="dxa"/>
            <w:bottom w:w="0" w:type="dxa"/>
            <w:right w:w="108" w:type="dxa"/>
          </w:tblCellMar>
        </w:tblPrEx>
        <w:trPr>
          <w:trHeight w:val="461" w:hRule="atLeast"/>
        </w:trPr>
        <w:tc>
          <w:tcPr>
            <w:tcW w:w="1117" w:type="dxa"/>
            <w:vMerge w:val="restart"/>
            <w:tcBorders>
              <w:top w:val="single" w:color="auto" w:sz="4" w:space="0"/>
              <w:left w:val="single" w:color="auto" w:sz="4" w:space="0"/>
              <w:bottom w:val="nil"/>
              <w:right w:val="single" w:color="auto" w:sz="4" w:space="0"/>
            </w:tcBorders>
            <w:vAlign w:val="center"/>
          </w:tcPr>
          <w:p>
            <w:pPr>
              <w:adjustRightInd/>
              <w:snapToGrid/>
              <w:spacing w:after="0"/>
              <w:rPr>
                <w:rFonts w:hint="eastAsia" w:ascii="仿宋" w:hAnsi="仿宋" w:eastAsia="仿宋" w:cs="仿宋"/>
                <w:color w:val="auto"/>
                <w:sz w:val="24"/>
                <w:szCs w:val="24"/>
                <w:lang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异地</w:t>
            </w:r>
          </w:p>
          <w:p>
            <w:pPr>
              <w:adjustRightInd/>
              <w:snapToGrid/>
              <w:spacing w:after="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转诊</w:t>
            </w: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highlight w:val="none"/>
              </w:rPr>
              <w:t>85%</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240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85%</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480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75%</w:t>
            </w:r>
          </w:p>
        </w:tc>
      </w:tr>
      <w:tr>
        <w:tblPrEx>
          <w:tblCellMar>
            <w:top w:w="0" w:type="dxa"/>
            <w:left w:w="108" w:type="dxa"/>
            <w:bottom w:w="0" w:type="dxa"/>
            <w:right w:w="108" w:type="dxa"/>
          </w:tblCellMar>
        </w:tblPrEx>
        <w:trPr>
          <w:trHeight w:val="461" w:hRule="atLeast"/>
        </w:trPr>
        <w:tc>
          <w:tcPr>
            <w:tcW w:w="11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720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75%</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strike w:val="0"/>
                <w:dstrike w:val="0"/>
                <w:color w:val="auto"/>
                <w:sz w:val="24"/>
                <w:szCs w:val="24"/>
                <w:lang w:val="en-US" w:eastAsia="zh-CN"/>
              </w:rPr>
            </w:pPr>
            <w:r>
              <w:rPr>
                <w:rFonts w:hint="eastAsia" w:ascii="仿宋" w:hAnsi="仿宋" w:eastAsia="仿宋" w:cs="仿宋"/>
                <w:color w:val="auto"/>
                <w:sz w:val="24"/>
                <w:szCs w:val="24"/>
                <w:lang w:val="en-US" w:eastAsia="zh-CN"/>
              </w:rPr>
              <w:t>60%</w:t>
            </w:r>
          </w:p>
        </w:tc>
      </w:tr>
      <w:tr>
        <w:tblPrEx>
          <w:tblCellMar>
            <w:top w:w="0" w:type="dxa"/>
            <w:left w:w="108" w:type="dxa"/>
            <w:bottom w:w="0" w:type="dxa"/>
            <w:right w:w="108" w:type="dxa"/>
          </w:tblCellMar>
        </w:tblPrEx>
        <w:trPr>
          <w:trHeight w:val="461" w:hRule="atLeast"/>
        </w:trPr>
        <w:tc>
          <w:tcPr>
            <w:tcW w:w="1117" w:type="dxa"/>
            <w:vMerge w:val="restart"/>
            <w:tcBorders>
              <w:top w:val="nil"/>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lang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异地</w:t>
            </w:r>
          </w:p>
          <w:p>
            <w:pPr>
              <w:adjustRightInd/>
              <w:snapToGrid/>
              <w:spacing w:after="0"/>
              <w:rPr>
                <w:rFonts w:hint="eastAsia" w:ascii="仿宋" w:hAnsi="仿宋" w:eastAsia="仿宋" w:cs="仿宋"/>
                <w:color w:val="auto"/>
                <w:sz w:val="24"/>
                <w:szCs w:val="24"/>
                <w:lang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急诊、</w:t>
            </w:r>
          </w:p>
          <w:p>
            <w:pPr>
              <w:adjustRightInd/>
              <w:snapToGrid/>
              <w:spacing w:after="0"/>
              <w:rPr>
                <w:rFonts w:hint="eastAsia" w:ascii="仿宋" w:hAnsi="仿宋" w:eastAsia="仿宋" w:cs="仿宋"/>
                <w:color w:val="auto"/>
                <w:sz w:val="24"/>
                <w:szCs w:val="24"/>
                <w:lang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自由</w:t>
            </w:r>
          </w:p>
          <w:p>
            <w:pPr>
              <w:adjustRightInd/>
              <w:snapToGrid/>
              <w:spacing w:after="0"/>
              <w:rPr>
                <w:rFonts w:hint="eastAsia" w:ascii="仿宋" w:hAnsi="仿宋" w:eastAsia="仿宋" w:cs="仿宋"/>
                <w:color w:val="auto"/>
                <w:sz w:val="24"/>
                <w:szCs w:val="24"/>
                <w:lang w:eastAsia="zh-CN"/>
              </w:rPr>
            </w:pPr>
            <w:r>
              <w:rPr>
                <w:rFonts w:hint="default" w:ascii="仿宋" w:hAnsi="仿宋" w:eastAsia="仿宋" w:cs="仿宋"/>
                <w:color w:val="auto"/>
                <w:sz w:val="24"/>
                <w:szCs w:val="24"/>
                <w:lang w:eastAsia="zh-CN"/>
              </w:rPr>
              <w:t xml:space="preserve"> </w:t>
            </w:r>
            <w:r>
              <w:rPr>
                <w:rFonts w:hint="eastAsia" w:ascii="仿宋" w:hAnsi="仿宋" w:eastAsia="仿宋" w:cs="仿宋"/>
                <w:color w:val="auto"/>
                <w:sz w:val="24"/>
                <w:szCs w:val="24"/>
                <w:lang w:eastAsia="zh-CN"/>
              </w:rPr>
              <w:t>转诊</w:t>
            </w:r>
          </w:p>
        </w:tc>
        <w:tc>
          <w:tcPr>
            <w:tcW w:w="290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80%</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240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80%</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480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70%</w:t>
            </w:r>
          </w:p>
        </w:tc>
      </w:tr>
      <w:tr>
        <w:tblPrEx>
          <w:tblCellMar>
            <w:top w:w="0" w:type="dxa"/>
            <w:left w:w="108" w:type="dxa"/>
            <w:bottom w:w="0" w:type="dxa"/>
            <w:right w:w="108" w:type="dxa"/>
          </w:tblCellMar>
        </w:tblPrEx>
        <w:trPr>
          <w:trHeight w:val="461" w:hRule="atLeast"/>
        </w:trPr>
        <w:tc>
          <w:tcPr>
            <w:tcW w:w="1117" w:type="dxa"/>
            <w:vMerge w:val="continue"/>
            <w:tcBorders>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90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720</w:t>
            </w:r>
          </w:p>
        </w:tc>
        <w:tc>
          <w:tcPr>
            <w:tcW w:w="200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70%</w:t>
            </w:r>
          </w:p>
        </w:tc>
        <w:tc>
          <w:tcPr>
            <w:tcW w:w="22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r>
      <w:tr>
        <w:tblPrEx>
          <w:tblCellMar>
            <w:top w:w="0" w:type="dxa"/>
            <w:left w:w="108" w:type="dxa"/>
            <w:bottom w:w="0" w:type="dxa"/>
            <w:right w:w="108" w:type="dxa"/>
          </w:tblCellMar>
        </w:tblPrEx>
        <w:trPr>
          <w:trHeight w:val="1431" w:hRule="atLeast"/>
        </w:trPr>
        <w:tc>
          <w:tcPr>
            <w:tcW w:w="9139" w:type="dxa"/>
            <w:gridSpan w:val="5"/>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800" w:hanging="960" w:hangingChars="4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注：1、</w:t>
            </w:r>
            <w:r>
              <w:rPr>
                <w:rFonts w:hint="eastAsia" w:ascii="仿宋" w:hAnsi="仿宋" w:eastAsia="仿宋" w:cs="仿宋"/>
                <w:color w:val="auto"/>
                <w:w w:val="85"/>
                <w:sz w:val="24"/>
                <w:szCs w:val="24"/>
              </w:rPr>
              <w:t>在哈医大一院、哈医大二院、哈医大四院</w:t>
            </w:r>
            <w:r>
              <w:rPr>
                <w:rFonts w:hint="eastAsia" w:ascii="仿宋" w:hAnsi="仿宋" w:eastAsia="仿宋" w:cs="仿宋"/>
                <w:color w:val="auto"/>
                <w:w w:val="85"/>
                <w:sz w:val="24"/>
                <w:szCs w:val="24"/>
                <w:lang w:eastAsia="zh-CN"/>
              </w:rPr>
              <w:t>及</w:t>
            </w:r>
            <w:r>
              <w:rPr>
                <w:rFonts w:hint="eastAsia" w:ascii="仿宋" w:hAnsi="仿宋" w:eastAsia="仿宋" w:cs="仿宋"/>
                <w:color w:val="auto"/>
                <w:w w:val="85"/>
                <w:sz w:val="24"/>
                <w:szCs w:val="24"/>
              </w:rPr>
              <w:t>黑龙江省医院住院就医，个人负担比例在规定的基础上相应提高三个百分点。</w:t>
            </w:r>
          </w:p>
          <w:p>
            <w:pPr>
              <w:numPr>
                <w:ilvl w:val="0"/>
                <w:numId w:val="1"/>
              </w:numPr>
              <w:adjustRightInd/>
              <w:snapToGrid/>
              <w:spacing w:after="0"/>
              <w:ind w:left="50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参保居民一个年度内第二次住院起付标准降低1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%，多次住院的执行第2次住院起付标准。</w:t>
            </w:r>
          </w:p>
          <w:p>
            <w:pPr>
              <w:adjustRightInd/>
              <w:snapToGrid/>
              <w:spacing w:after="0"/>
              <w:jc w:val="both"/>
              <w:rPr>
                <w:rFonts w:hint="eastAsia" w:ascii="仿宋" w:hAnsi="仿宋" w:eastAsia="仿宋" w:cs="仿宋"/>
                <w:color w:val="auto"/>
                <w:sz w:val="24"/>
                <w:szCs w:val="24"/>
                <w:highlight w:val="none"/>
                <w:lang w:val="en-US" w:eastAsia="zh-CN"/>
              </w:rPr>
            </w:pPr>
          </w:p>
        </w:tc>
      </w:tr>
    </w:tbl>
    <w:p>
      <w:pPr>
        <w:numPr>
          <w:ilvl w:val="0"/>
          <w:numId w:val="0"/>
        </w:numPr>
        <w:rPr>
          <w:rFonts w:hint="eastAsia" w:ascii="仿宋" w:hAnsi="仿宋" w:eastAsia="仿宋" w:cs="仿宋"/>
          <w:b/>
          <w:bCs/>
          <w:color w:val="auto"/>
          <w:sz w:val="32"/>
          <w:szCs w:val="32"/>
          <w:lang w:eastAsia="zh-CN"/>
        </w:rPr>
      </w:pPr>
    </w:p>
    <w:p>
      <w:pPr>
        <w:numPr>
          <w:ilvl w:val="0"/>
          <w:numId w:val="0"/>
        </w:numP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门诊特殊疾病</w:t>
      </w:r>
      <w:r>
        <w:rPr>
          <w:rFonts w:hint="eastAsia" w:ascii="仿宋" w:hAnsi="仿宋" w:eastAsia="仿宋" w:cs="仿宋"/>
          <w:b/>
          <w:bCs/>
          <w:color w:val="auto"/>
          <w:sz w:val="32"/>
          <w:szCs w:val="32"/>
          <w:lang w:eastAsia="zh-CN"/>
        </w:rPr>
        <w:t>待遇</w:t>
      </w:r>
    </w:p>
    <w:tbl>
      <w:tblPr>
        <w:tblStyle w:val="6"/>
        <w:tblW w:w="11399" w:type="dxa"/>
        <w:jc w:val="center"/>
        <w:tblLayout w:type="fixed"/>
        <w:tblCellMar>
          <w:top w:w="0" w:type="dxa"/>
          <w:left w:w="108" w:type="dxa"/>
          <w:bottom w:w="0" w:type="dxa"/>
          <w:right w:w="108" w:type="dxa"/>
        </w:tblCellMar>
      </w:tblPr>
      <w:tblGrid>
        <w:gridCol w:w="1106"/>
        <w:gridCol w:w="1184"/>
        <w:gridCol w:w="2870"/>
        <w:gridCol w:w="1524"/>
        <w:gridCol w:w="1583"/>
        <w:gridCol w:w="1541"/>
        <w:gridCol w:w="1591"/>
      </w:tblGrid>
      <w:tr>
        <w:tblPrEx>
          <w:tblCellMar>
            <w:top w:w="0" w:type="dxa"/>
            <w:left w:w="108" w:type="dxa"/>
            <w:bottom w:w="0" w:type="dxa"/>
            <w:right w:w="108" w:type="dxa"/>
          </w:tblCellMar>
        </w:tblPrEx>
        <w:trPr>
          <w:trHeight w:val="480" w:hRule="atLeast"/>
          <w:jc w:val="center"/>
        </w:trPr>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就医</w:t>
            </w:r>
          </w:p>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人群</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特殊疾病病种</w:t>
            </w:r>
          </w:p>
        </w:tc>
        <w:tc>
          <w:tcPr>
            <w:tcW w:w="2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统筹基金支付项目</w:t>
            </w: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在特殊疾病门诊</w:t>
            </w:r>
            <w:r>
              <w:rPr>
                <w:rFonts w:hint="eastAsia" w:ascii="仿宋" w:hAnsi="仿宋" w:eastAsia="仿宋" w:cs="仿宋"/>
                <w:color w:val="auto"/>
                <w:sz w:val="24"/>
                <w:szCs w:val="24"/>
                <w:lang w:eastAsia="zh-CN"/>
              </w:rPr>
              <w:t>定点医院</w:t>
            </w:r>
            <w:r>
              <w:rPr>
                <w:rFonts w:hint="eastAsia" w:ascii="仿宋" w:hAnsi="仿宋" w:eastAsia="仿宋" w:cs="仿宋"/>
                <w:color w:val="auto"/>
                <w:sz w:val="24"/>
                <w:szCs w:val="24"/>
              </w:rPr>
              <w:t>，统筹基金支付标准</w:t>
            </w:r>
          </w:p>
        </w:tc>
      </w:tr>
      <w:tr>
        <w:tblPrEx>
          <w:tblCellMar>
            <w:top w:w="0" w:type="dxa"/>
            <w:left w:w="108" w:type="dxa"/>
            <w:bottom w:w="0" w:type="dxa"/>
            <w:right w:w="108" w:type="dxa"/>
          </w:tblCellMar>
        </w:tblPrEx>
        <w:trPr>
          <w:trHeight w:val="973"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87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无等级医院</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一级</w:t>
            </w:r>
            <w:r>
              <w:rPr>
                <w:rFonts w:hint="eastAsia" w:ascii="仿宋" w:hAnsi="仿宋" w:eastAsia="仿宋" w:cs="仿宋"/>
                <w:color w:val="auto"/>
                <w:sz w:val="24"/>
                <w:szCs w:val="24"/>
                <w:lang w:eastAsia="zh-CN"/>
              </w:rPr>
              <w:t>医院</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二级</w:t>
            </w:r>
            <w:r>
              <w:rPr>
                <w:rFonts w:hint="eastAsia" w:ascii="仿宋" w:hAnsi="仿宋" w:eastAsia="仿宋" w:cs="仿宋"/>
                <w:color w:val="auto"/>
                <w:sz w:val="24"/>
                <w:szCs w:val="24"/>
                <w:lang w:eastAsia="zh-CN"/>
              </w:rPr>
              <w:t>医院</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三级</w:t>
            </w:r>
            <w:r>
              <w:rPr>
                <w:rFonts w:hint="eastAsia" w:ascii="仿宋" w:hAnsi="仿宋" w:eastAsia="仿宋" w:cs="仿宋"/>
                <w:color w:val="auto"/>
                <w:sz w:val="24"/>
                <w:szCs w:val="24"/>
                <w:lang w:eastAsia="zh-CN"/>
              </w:rPr>
              <w:t>医院</w:t>
            </w:r>
          </w:p>
        </w:tc>
      </w:tr>
      <w:tr>
        <w:tblPrEx>
          <w:tblCellMar>
            <w:top w:w="0" w:type="dxa"/>
            <w:left w:w="108" w:type="dxa"/>
            <w:bottom w:w="0" w:type="dxa"/>
            <w:right w:w="108" w:type="dxa"/>
          </w:tblCellMar>
        </w:tblPrEx>
        <w:trPr>
          <w:trHeight w:val="1580" w:hRule="atLeast"/>
          <w:jc w:val="center"/>
        </w:trPr>
        <w:tc>
          <w:tcPr>
            <w:tcW w:w="1106" w:type="dxa"/>
            <w:vMerge w:val="restart"/>
            <w:tcBorders>
              <w:top w:val="nil"/>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成人</w:t>
            </w:r>
          </w:p>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居民</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恶性肿瘤</w:t>
            </w:r>
          </w:p>
        </w:tc>
        <w:tc>
          <w:tcPr>
            <w:tcW w:w="287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放疗、化疗、免疫治疗、内分泌治疗、抗疼痛治疗以及与病情相关的一次性医用材料、检查检验、服务设施等费用</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956"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尿毒症</w:t>
            </w:r>
          </w:p>
        </w:tc>
        <w:tc>
          <w:tcPr>
            <w:tcW w:w="2870"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仿宋"/>
                <w:color w:val="auto"/>
                <w:sz w:val="24"/>
                <w:szCs w:val="24"/>
              </w:rPr>
            </w:pPr>
            <w:r>
              <w:rPr>
                <w:rFonts w:hint="eastAsia" w:ascii="仿宋" w:hAnsi="仿宋" w:eastAsia="仿宋" w:cs="仿宋"/>
                <w:color w:val="auto"/>
                <w:sz w:val="24"/>
                <w:szCs w:val="24"/>
              </w:rPr>
              <w:t>血液透析组套（元/次）</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440元/次；</w:t>
            </w:r>
          </w:p>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支付40</w:t>
            </w:r>
            <w:r>
              <w:rPr>
                <w:rFonts w:hint="eastAsia" w:ascii="仿宋" w:hAnsi="仿宋" w:eastAsia="仿宋" w:cs="仿宋"/>
                <w:color w:val="auto"/>
                <w:sz w:val="24"/>
                <w:szCs w:val="24"/>
              </w:rPr>
              <w:t>0元</w:t>
            </w:r>
            <w:r>
              <w:rPr>
                <w:rFonts w:hint="eastAsia" w:ascii="仿宋" w:hAnsi="仿宋" w:eastAsia="仿宋" w:cs="仿宋"/>
                <w:color w:val="auto"/>
                <w:sz w:val="24"/>
                <w:szCs w:val="24"/>
                <w:lang w:val="en-US" w:eastAsia="zh-CN"/>
              </w:rPr>
              <w:t>/次</w:t>
            </w:r>
          </w:p>
        </w:tc>
      </w:tr>
      <w:tr>
        <w:tblPrEx>
          <w:tblCellMar>
            <w:top w:w="0" w:type="dxa"/>
            <w:left w:w="108" w:type="dxa"/>
            <w:bottom w:w="0" w:type="dxa"/>
            <w:right w:w="108" w:type="dxa"/>
          </w:tblCellMar>
        </w:tblPrEx>
        <w:trPr>
          <w:trHeight w:val="644"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870"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仿宋"/>
                <w:color w:val="auto"/>
                <w:sz w:val="24"/>
                <w:szCs w:val="24"/>
              </w:rPr>
            </w:pPr>
            <w:r>
              <w:rPr>
                <w:rFonts w:hint="eastAsia" w:ascii="仿宋" w:hAnsi="仿宋" w:eastAsia="仿宋" w:cs="仿宋"/>
                <w:color w:val="auto"/>
                <w:sz w:val="24"/>
                <w:szCs w:val="24"/>
              </w:rPr>
              <w:t>血液透析滤过、灌流（元/次）</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支付90%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rPr>
              <w:t>支付90%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367"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870"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透析门诊用药</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ind w:left="0"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427"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870"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仿宋"/>
                <w:color w:val="auto"/>
                <w:sz w:val="24"/>
                <w:szCs w:val="24"/>
              </w:rPr>
            </w:pPr>
            <w:r>
              <w:rPr>
                <w:rFonts w:hint="eastAsia" w:ascii="仿宋" w:hAnsi="仿宋" w:eastAsia="仿宋" w:cs="仿宋"/>
                <w:color w:val="auto"/>
                <w:sz w:val="24"/>
                <w:szCs w:val="24"/>
              </w:rPr>
              <w:t>腹膜透析组套（元/日）</w:t>
            </w: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每人每日160元，</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90%</w:t>
            </w:r>
          </w:p>
        </w:tc>
      </w:tr>
      <w:tr>
        <w:tblPrEx>
          <w:tblCellMar>
            <w:top w:w="0" w:type="dxa"/>
            <w:left w:w="108" w:type="dxa"/>
            <w:bottom w:w="0" w:type="dxa"/>
            <w:right w:w="108" w:type="dxa"/>
          </w:tblCellMar>
        </w:tblPrEx>
        <w:trPr>
          <w:trHeight w:val="609"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器官移植术后（肝、肾、肺、心脏移植）</w:t>
            </w:r>
          </w:p>
        </w:tc>
        <w:tc>
          <w:tcPr>
            <w:tcW w:w="287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仿宋"/>
                <w:color w:val="auto"/>
                <w:sz w:val="24"/>
                <w:szCs w:val="24"/>
              </w:rPr>
            </w:pPr>
            <w:r>
              <w:rPr>
                <w:rFonts w:hint="eastAsia" w:ascii="仿宋" w:hAnsi="仿宋" w:eastAsia="仿宋" w:cs="仿宋"/>
                <w:color w:val="auto"/>
                <w:sz w:val="24"/>
                <w:szCs w:val="24"/>
              </w:rPr>
              <w:t>抗排异治疗（以及与病情相关的治疗药品和检查检验费用）</w:t>
            </w: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p>
        </w:tc>
      </w:tr>
      <w:tr>
        <w:tblPrEx>
          <w:tblCellMar>
            <w:top w:w="0" w:type="dxa"/>
            <w:left w:w="108" w:type="dxa"/>
            <w:bottom w:w="0" w:type="dxa"/>
            <w:right w:w="108" w:type="dxa"/>
          </w:tblCellMar>
        </w:tblPrEx>
        <w:trPr>
          <w:trHeight w:val="1268" w:hRule="atLeast"/>
          <w:jc w:val="center"/>
        </w:trPr>
        <w:tc>
          <w:tcPr>
            <w:tcW w:w="1106" w:type="dxa"/>
            <w:vMerge w:val="continue"/>
            <w:tcBorders>
              <w:left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28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仿宋" w:hAnsi="仿宋" w:eastAsia="仿宋" w:cs="仿宋"/>
                <w:color w:val="auto"/>
                <w:sz w:val="24"/>
                <w:szCs w:val="24"/>
              </w:rPr>
            </w:pP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年度最高支付限额：术后2年以内（含2年）6.3万元</w:t>
            </w:r>
            <w:r>
              <w:rPr>
                <w:rFonts w:hint="eastAsia" w:ascii="仿宋" w:hAnsi="仿宋" w:eastAsia="仿宋" w:cs="仿宋"/>
                <w:color w:val="auto"/>
                <w:sz w:val="24"/>
                <w:szCs w:val="24"/>
                <w:lang w:eastAsia="zh-CN"/>
              </w:rPr>
              <w:t>，统筹金每人每季度最多支付不超过</w:t>
            </w:r>
            <w:r>
              <w:rPr>
                <w:rFonts w:hint="eastAsia" w:ascii="仿宋" w:hAnsi="仿宋" w:eastAsia="仿宋" w:cs="仿宋"/>
                <w:color w:val="auto"/>
                <w:sz w:val="24"/>
                <w:szCs w:val="24"/>
                <w:lang w:val="en-US" w:eastAsia="zh-CN"/>
              </w:rPr>
              <w:t>15750元</w:t>
            </w:r>
            <w:r>
              <w:rPr>
                <w:rFonts w:hint="eastAsia" w:ascii="仿宋" w:hAnsi="仿宋" w:eastAsia="仿宋" w:cs="仿宋"/>
                <w:color w:val="auto"/>
                <w:sz w:val="24"/>
                <w:szCs w:val="24"/>
              </w:rPr>
              <w:t>；术后2年以上4.9万元</w:t>
            </w:r>
            <w:r>
              <w:rPr>
                <w:rFonts w:hint="eastAsia" w:ascii="仿宋" w:hAnsi="仿宋" w:eastAsia="仿宋" w:cs="仿宋"/>
                <w:color w:val="auto"/>
                <w:sz w:val="24"/>
                <w:szCs w:val="24"/>
                <w:lang w:eastAsia="zh-CN"/>
              </w:rPr>
              <w:t>，统筹金每人每季度最多支付不超过</w:t>
            </w:r>
            <w:r>
              <w:rPr>
                <w:rFonts w:hint="eastAsia" w:ascii="仿宋" w:hAnsi="仿宋" w:eastAsia="仿宋" w:cs="仿宋"/>
                <w:color w:val="auto"/>
                <w:sz w:val="24"/>
                <w:szCs w:val="24"/>
                <w:lang w:val="en-US" w:eastAsia="zh-CN"/>
              </w:rPr>
              <w:t xml:space="preserve">12250元。          </w:t>
            </w:r>
          </w:p>
        </w:tc>
      </w:tr>
      <w:tr>
        <w:tblPrEx>
          <w:tblCellMar>
            <w:top w:w="0" w:type="dxa"/>
            <w:left w:w="108" w:type="dxa"/>
            <w:bottom w:w="0" w:type="dxa"/>
            <w:right w:w="108" w:type="dxa"/>
          </w:tblCellMar>
        </w:tblPrEx>
        <w:trPr>
          <w:trHeight w:val="644"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血友病、再生障碍性贫血、系统性红斑狼疮</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8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386"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restart"/>
            <w:tcBorders>
              <w:top w:val="nil"/>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糖尿病胰岛素治疗</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8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454"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在定点零售药店发生的费用，</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65%</w:t>
            </w:r>
          </w:p>
        </w:tc>
      </w:tr>
      <w:tr>
        <w:tblPrEx>
          <w:tblCellMar>
            <w:top w:w="0" w:type="dxa"/>
            <w:left w:w="108" w:type="dxa"/>
            <w:bottom w:w="0" w:type="dxa"/>
            <w:right w:w="108" w:type="dxa"/>
          </w:tblCellMar>
        </w:tblPrEx>
        <w:trPr>
          <w:trHeight w:val="454"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统筹金年度最多支付不超过2400元</w:t>
            </w:r>
          </w:p>
        </w:tc>
      </w:tr>
      <w:tr>
        <w:tblPrEx>
          <w:tblCellMar>
            <w:top w:w="0" w:type="dxa"/>
            <w:left w:w="108" w:type="dxa"/>
            <w:bottom w:w="0" w:type="dxa"/>
            <w:right w:w="108" w:type="dxa"/>
          </w:tblCellMar>
        </w:tblPrEx>
        <w:trPr>
          <w:trHeight w:val="473"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肺结核、重性精神病药物维持治疗</w:t>
            </w: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85%</w:t>
            </w:r>
          </w:p>
        </w:tc>
      </w:tr>
      <w:tr>
        <w:tblPrEx>
          <w:tblCellMar>
            <w:top w:w="0" w:type="dxa"/>
            <w:left w:w="108" w:type="dxa"/>
            <w:bottom w:w="0" w:type="dxa"/>
            <w:right w:w="108" w:type="dxa"/>
          </w:tblCellMar>
        </w:tblPrEx>
        <w:trPr>
          <w:trHeight w:val="473" w:hRule="atLeast"/>
          <w:jc w:val="center"/>
        </w:trPr>
        <w:tc>
          <w:tcPr>
            <w:tcW w:w="1106" w:type="dxa"/>
            <w:vMerge w:val="continue"/>
            <w:tcBorders>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restart"/>
            <w:tcBorders>
              <w:top w:val="nil"/>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特殊药品（靶向用药）</w:t>
            </w:r>
          </w:p>
        </w:tc>
        <w:tc>
          <w:tcPr>
            <w:tcW w:w="310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w:t>
            </w:r>
          </w:p>
        </w:tc>
      </w:tr>
      <w:tr>
        <w:tblPrEx>
          <w:tblCellMar>
            <w:top w:w="0" w:type="dxa"/>
            <w:left w:w="108" w:type="dxa"/>
            <w:bottom w:w="0" w:type="dxa"/>
            <w:right w:w="108" w:type="dxa"/>
          </w:tblCellMar>
        </w:tblPrEx>
        <w:trPr>
          <w:trHeight w:val="453" w:hRule="atLeast"/>
          <w:jc w:val="center"/>
        </w:trPr>
        <w:tc>
          <w:tcPr>
            <w:tcW w:w="1106"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bottom w:val="single" w:color="auto" w:sz="0"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在定点零售药店发生的费用，</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65%</w:t>
            </w:r>
          </w:p>
        </w:tc>
      </w:tr>
      <w:tr>
        <w:tblPrEx>
          <w:tblCellMar>
            <w:top w:w="0" w:type="dxa"/>
            <w:left w:w="108" w:type="dxa"/>
            <w:bottom w:w="0" w:type="dxa"/>
            <w:right w:w="108" w:type="dxa"/>
          </w:tblCellMar>
        </w:tblPrEx>
        <w:trPr>
          <w:trHeight w:val="1164" w:hRule="atLeast"/>
          <w:jc w:val="center"/>
        </w:trPr>
        <w:tc>
          <w:tcPr>
            <w:tcW w:w="1106" w:type="dxa"/>
            <w:vMerge w:val="restart"/>
            <w:tcBorders>
              <w:top w:val="single" w:color="auto" w:sz="4" w:space="0"/>
              <w:left w:val="single" w:color="auto" w:sz="4" w:space="0"/>
              <w:bottom w:val="single" w:color="auto" w:sz="4" w:space="0"/>
              <w:right w:val="single" w:color="auto" w:sz="0" w:space="0"/>
            </w:tcBorders>
            <w:shd w:val="clear" w:color="auto" w:fill="auto"/>
            <w:vAlign w:val="center"/>
          </w:tcPr>
          <w:p>
            <w:pPr>
              <w:adjustRightInd/>
              <w:snapToGrid/>
              <w:spacing w:after="0"/>
              <w:jc w:val="both"/>
              <w:rPr>
                <w:rFonts w:hint="eastAsia" w:ascii="仿宋" w:hAnsi="仿宋" w:eastAsia="仿宋" w:cs="仿宋"/>
                <w:color w:val="auto"/>
                <w:sz w:val="24"/>
                <w:szCs w:val="24"/>
                <w:lang w:eastAsia="zh-CN"/>
              </w:rPr>
            </w:pPr>
          </w:p>
          <w:p>
            <w:pPr>
              <w:adjustRightInd/>
              <w:snapToGrid/>
              <w:spacing w:after="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学生</w:t>
            </w:r>
          </w:p>
          <w:p>
            <w:pPr>
              <w:adjustRightInd/>
              <w:snapToGrid/>
              <w:spacing w:after="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儿童</w:t>
            </w:r>
          </w:p>
          <w:p>
            <w:pPr>
              <w:adjustRightInd/>
              <w:snapToGrid/>
              <w:spacing w:after="0"/>
              <w:jc w:val="both"/>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学生</w:t>
            </w:r>
          </w:p>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儿童</w:t>
            </w: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p>
            <w:pPr>
              <w:adjustRightInd/>
              <w:snapToGrid/>
              <w:spacing w:after="0"/>
              <w:jc w:val="center"/>
              <w:rPr>
                <w:rFonts w:hint="eastAsia" w:ascii="仿宋" w:hAnsi="仿宋" w:eastAsia="仿宋" w:cs="仿宋"/>
                <w:color w:val="auto"/>
                <w:sz w:val="24"/>
                <w:szCs w:val="24"/>
                <w:lang w:eastAsia="zh-CN"/>
              </w:rPr>
            </w:pPr>
          </w:p>
        </w:tc>
        <w:tc>
          <w:tcPr>
            <w:tcW w:w="4054" w:type="dxa"/>
            <w:gridSpan w:val="2"/>
            <w:tcBorders>
              <w:top w:val="single" w:color="auto" w:sz="0" w:space="0"/>
              <w:left w:val="single" w:color="auto" w:sz="0" w:space="0"/>
              <w:bottom w:val="single" w:color="auto" w:sz="0" w:space="0"/>
              <w:right w:val="single" w:color="auto" w:sz="0"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恶性肿瘤</w:t>
            </w:r>
          </w:p>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rPr>
              <w:t>放疗、化疗、免疫治疗、内分泌治疗、抗疼痛治疗以及与病情相关的一次性医用材料、检查检验、服务设施等费用</w:t>
            </w:r>
          </w:p>
        </w:tc>
        <w:tc>
          <w:tcPr>
            <w:tcW w:w="1524" w:type="dxa"/>
            <w:tcBorders>
              <w:top w:val="nil"/>
              <w:left w:val="single" w:color="auto" w:sz="0"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51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restart"/>
            <w:tcBorders>
              <w:top w:val="single" w:color="auto" w:sz="0" w:space="0"/>
              <w:left w:val="single" w:color="auto" w:sz="0" w:space="0"/>
              <w:bottom w:val="single" w:color="auto" w:sz="0"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尿毒症</w:t>
            </w:r>
          </w:p>
        </w:tc>
        <w:tc>
          <w:tcPr>
            <w:tcW w:w="2870" w:type="dxa"/>
            <w:tcBorders>
              <w:top w:val="single" w:color="auto" w:sz="0" w:space="0"/>
              <w:left w:val="single" w:color="auto" w:sz="4" w:space="0"/>
              <w:bottom w:val="single" w:color="auto" w:sz="0"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rPr>
              <w:t>血液透析组套（元/次）</w:t>
            </w:r>
          </w:p>
        </w:tc>
        <w:tc>
          <w:tcPr>
            <w:tcW w:w="152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ind w:left="0" w:leftChars="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ind w:left="0" w:leftChars="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w:t>
            </w:r>
            <w:r>
              <w:rPr>
                <w:rFonts w:hint="eastAsia" w:ascii="仿宋" w:hAnsi="仿宋" w:eastAsia="仿宋" w:cs="仿宋"/>
                <w:color w:val="auto"/>
                <w:sz w:val="24"/>
                <w:szCs w:val="24"/>
              </w:rPr>
              <w:t>380元</w:t>
            </w:r>
            <w:r>
              <w:rPr>
                <w:rFonts w:hint="eastAsia" w:ascii="仿宋" w:hAnsi="仿宋" w:eastAsia="仿宋" w:cs="仿宋"/>
                <w:color w:val="auto"/>
                <w:sz w:val="24"/>
                <w:szCs w:val="24"/>
                <w:lang w:val="en-US" w:eastAsia="zh-CN"/>
              </w:rPr>
              <w:t>/次</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440元/次；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支付40</w:t>
            </w:r>
            <w:r>
              <w:rPr>
                <w:rFonts w:hint="eastAsia" w:ascii="仿宋" w:hAnsi="仿宋" w:eastAsia="仿宋" w:cs="仿宋"/>
                <w:color w:val="auto"/>
                <w:sz w:val="24"/>
                <w:szCs w:val="24"/>
              </w:rPr>
              <w:t>0元</w:t>
            </w:r>
            <w:r>
              <w:rPr>
                <w:rFonts w:hint="eastAsia" w:ascii="仿宋" w:hAnsi="仿宋" w:eastAsia="仿宋" w:cs="仿宋"/>
                <w:color w:val="auto"/>
                <w:sz w:val="24"/>
                <w:szCs w:val="24"/>
                <w:lang w:val="en-US" w:eastAsia="zh-CN"/>
              </w:rPr>
              <w:t>/次</w:t>
            </w:r>
          </w:p>
        </w:tc>
      </w:tr>
      <w:tr>
        <w:tblPrEx>
          <w:tblCellMar>
            <w:top w:w="0" w:type="dxa"/>
            <w:left w:w="108" w:type="dxa"/>
            <w:bottom w:w="0" w:type="dxa"/>
            <w:right w:w="108" w:type="dxa"/>
          </w:tblCellMar>
        </w:tblPrEx>
        <w:trPr>
          <w:trHeight w:val="51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continue"/>
            <w:tcBorders>
              <w:top w:val="single" w:color="auto" w:sz="0" w:space="0"/>
              <w:left w:val="single" w:color="auto" w:sz="0" w:space="0"/>
              <w:bottom w:val="single" w:color="auto" w:sz="0"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2870" w:type="dxa"/>
            <w:tcBorders>
              <w:top w:val="single" w:color="auto" w:sz="0" w:space="0"/>
              <w:left w:val="single" w:color="auto" w:sz="4" w:space="0"/>
              <w:bottom w:val="single" w:color="auto" w:sz="0"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rPr>
              <w:t>血液透析滤过、灌流（元/次）</w:t>
            </w:r>
          </w:p>
        </w:tc>
        <w:tc>
          <w:tcPr>
            <w:tcW w:w="152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ind w:left="0" w:leftChars="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支付90%</w:t>
            </w:r>
            <w:r>
              <w:rPr>
                <w:rFonts w:hint="eastAsia" w:ascii="仿宋" w:hAnsi="仿宋" w:eastAsia="仿宋" w:cs="仿宋"/>
                <w:color w:val="auto"/>
                <w:sz w:val="24"/>
                <w:szCs w:val="24"/>
              </w:rPr>
              <w:t>%</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支付80%</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/次</w:t>
            </w:r>
            <w:r>
              <w:rPr>
                <w:rFonts w:hint="eastAsia" w:ascii="仿宋" w:hAnsi="仿宋" w:eastAsia="仿宋" w:cs="仿宋"/>
                <w:color w:val="auto"/>
                <w:sz w:val="24"/>
                <w:szCs w:val="24"/>
                <w:lang w:eastAsia="zh-CN"/>
              </w:rPr>
              <w:t>，</w:t>
            </w:r>
          </w:p>
          <w:p>
            <w:pPr>
              <w:adjustRightInd/>
              <w:snapToGrid/>
              <w:spacing w:after="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35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continue"/>
            <w:tcBorders>
              <w:top w:val="single" w:color="auto" w:sz="0" w:space="0"/>
              <w:left w:val="single" w:color="auto" w:sz="0"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2870" w:type="dxa"/>
            <w:tcBorders>
              <w:top w:val="single" w:color="auto" w:sz="0" w:space="0"/>
              <w:left w:val="single" w:color="auto" w:sz="4" w:space="0"/>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透析门诊用药</w:t>
            </w:r>
          </w:p>
        </w:tc>
        <w:tc>
          <w:tcPr>
            <w:tcW w:w="152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359"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continue"/>
            <w:tcBorders>
              <w:top w:val="single" w:color="auto" w:sz="4" w:space="0"/>
              <w:left w:val="single" w:color="auto" w:sz="0"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2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left"/>
              <w:rPr>
                <w:rFonts w:hint="eastAsia" w:ascii="仿宋" w:hAnsi="仿宋" w:eastAsia="仿宋" w:cs="仿宋"/>
                <w:color w:val="auto"/>
                <w:sz w:val="24"/>
                <w:szCs w:val="24"/>
              </w:rPr>
            </w:pPr>
            <w:r>
              <w:rPr>
                <w:rFonts w:hint="eastAsia" w:ascii="仿宋" w:hAnsi="仿宋" w:eastAsia="仿宋" w:cs="仿宋"/>
                <w:color w:val="auto"/>
                <w:sz w:val="24"/>
                <w:szCs w:val="24"/>
              </w:rPr>
              <w:t>腹膜透析组套（元/日）</w:t>
            </w: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每人每日160元，</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90%</w:t>
            </w:r>
          </w:p>
        </w:tc>
      </w:tr>
      <w:tr>
        <w:tblPrEx>
          <w:tblCellMar>
            <w:top w:w="0" w:type="dxa"/>
            <w:left w:w="108" w:type="dxa"/>
            <w:bottom w:w="0" w:type="dxa"/>
            <w:right w:w="108" w:type="dxa"/>
          </w:tblCellMar>
        </w:tblPrEx>
        <w:trPr>
          <w:trHeight w:val="74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血友病、再生障碍性贫血、系统性红斑狼疮</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53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器官移植术后（肝、肾、肺、心脏移植）</w:t>
            </w:r>
          </w:p>
        </w:tc>
        <w:tc>
          <w:tcPr>
            <w:tcW w:w="287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抗排异治疗（以及与病情相关的治疗药品和检查检验费用）</w:t>
            </w: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p>
        </w:tc>
      </w:tr>
      <w:tr>
        <w:tblPrEx>
          <w:tblCellMar>
            <w:top w:w="0" w:type="dxa"/>
            <w:left w:w="108" w:type="dxa"/>
            <w:bottom w:w="0" w:type="dxa"/>
            <w:right w:w="108" w:type="dxa"/>
          </w:tblCellMar>
        </w:tblPrEx>
        <w:trPr>
          <w:trHeight w:val="1065"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1184"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287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年度最高支付限额：术后2年以内（含2年）6.3万元</w:t>
            </w:r>
            <w:r>
              <w:rPr>
                <w:rFonts w:hint="eastAsia" w:ascii="仿宋" w:hAnsi="仿宋" w:eastAsia="仿宋" w:cs="仿宋"/>
                <w:color w:val="auto"/>
                <w:sz w:val="24"/>
                <w:szCs w:val="24"/>
                <w:lang w:eastAsia="zh-CN"/>
              </w:rPr>
              <w:t>，统筹金每人每季度最多支付不超过</w:t>
            </w:r>
            <w:r>
              <w:rPr>
                <w:rFonts w:hint="eastAsia" w:ascii="仿宋" w:hAnsi="仿宋" w:eastAsia="仿宋" w:cs="仿宋"/>
                <w:color w:val="auto"/>
                <w:sz w:val="24"/>
                <w:szCs w:val="24"/>
                <w:lang w:val="en-US" w:eastAsia="zh-CN"/>
              </w:rPr>
              <w:t>15750元</w:t>
            </w:r>
            <w:r>
              <w:rPr>
                <w:rFonts w:hint="eastAsia" w:ascii="仿宋" w:hAnsi="仿宋" w:eastAsia="仿宋" w:cs="仿宋"/>
                <w:color w:val="auto"/>
                <w:sz w:val="24"/>
                <w:szCs w:val="24"/>
              </w:rPr>
              <w:t>；术后2年以上4.9万元</w:t>
            </w:r>
            <w:r>
              <w:rPr>
                <w:rFonts w:hint="eastAsia" w:ascii="仿宋" w:hAnsi="仿宋" w:eastAsia="仿宋" w:cs="仿宋"/>
                <w:color w:val="auto"/>
                <w:sz w:val="24"/>
                <w:szCs w:val="24"/>
                <w:lang w:eastAsia="zh-CN"/>
              </w:rPr>
              <w:t>，统筹金每人每季度最多支付不超过</w:t>
            </w:r>
            <w:r>
              <w:rPr>
                <w:rFonts w:hint="eastAsia" w:ascii="仿宋" w:hAnsi="仿宋" w:eastAsia="仿宋" w:cs="仿宋"/>
                <w:color w:val="auto"/>
                <w:sz w:val="24"/>
                <w:szCs w:val="24"/>
                <w:lang w:val="en-US" w:eastAsia="zh-CN"/>
              </w:rPr>
              <w:t xml:space="preserve">12250元。  </w:t>
            </w:r>
          </w:p>
        </w:tc>
      </w:tr>
      <w:tr>
        <w:tblPrEx>
          <w:tblCellMar>
            <w:top w:w="0" w:type="dxa"/>
            <w:left w:w="108" w:type="dxa"/>
            <w:bottom w:w="0" w:type="dxa"/>
            <w:right w:w="108" w:type="dxa"/>
          </w:tblCellMar>
        </w:tblPrEx>
        <w:trPr>
          <w:trHeight w:val="36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restart"/>
            <w:tcBorders>
              <w:top w:val="nil"/>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糖尿病胰岛素治疗</w:t>
            </w:r>
          </w:p>
        </w:tc>
        <w:tc>
          <w:tcPr>
            <w:tcW w:w="152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39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在定点零售药店发生的费用，</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80%</w:t>
            </w:r>
          </w:p>
        </w:tc>
      </w:tr>
      <w:tr>
        <w:tblPrEx>
          <w:tblCellMar>
            <w:top w:w="0" w:type="dxa"/>
            <w:left w:w="108" w:type="dxa"/>
            <w:bottom w:w="0" w:type="dxa"/>
            <w:right w:w="108" w:type="dxa"/>
          </w:tblCellMar>
        </w:tblPrEx>
        <w:trPr>
          <w:trHeight w:val="39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统筹金年度最多支付不超过2400元</w:t>
            </w:r>
          </w:p>
        </w:tc>
      </w:tr>
      <w:tr>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restart"/>
            <w:tcBorders>
              <w:top w:val="nil"/>
              <w:left w:val="nil"/>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特殊药品（靶向用药）</w:t>
            </w:r>
          </w:p>
        </w:tc>
        <w:tc>
          <w:tcPr>
            <w:tcW w:w="310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90%</w:t>
            </w:r>
          </w:p>
        </w:tc>
        <w:tc>
          <w:tcPr>
            <w:tcW w:w="154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w:t>
            </w:r>
          </w:p>
        </w:tc>
        <w:tc>
          <w:tcPr>
            <w:tcW w:w="159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w:t>
            </w:r>
          </w:p>
        </w:tc>
      </w:tr>
      <w:tr>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vMerge w:val="continue"/>
            <w:tcBorders>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在定点零售药店发生的费用，</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80%</w:t>
            </w:r>
          </w:p>
        </w:tc>
      </w:tr>
      <w:tr>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肺结核、重性精神病药物维持治疗</w:t>
            </w: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85%</w:t>
            </w:r>
          </w:p>
        </w:tc>
      </w:tr>
      <w:tr>
        <w:tblPrEx>
          <w:tblCellMar>
            <w:top w:w="0" w:type="dxa"/>
            <w:left w:w="108" w:type="dxa"/>
            <w:bottom w:w="0" w:type="dxa"/>
            <w:right w:w="108" w:type="dxa"/>
          </w:tblCellMar>
        </w:tblPrEx>
        <w:trPr>
          <w:trHeight w:val="2240"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p>
        </w:tc>
        <w:tc>
          <w:tcPr>
            <w:tcW w:w="405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苯丙酮尿症</w:t>
            </w:r>
          </w:p>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（限0-18周岁（含18周岁）</w:t>
            </w:r>
          </w:p>
        </w:tc>
        <w:tc>
          <w:tcPr>
            <w:tcW w:w="6239" w:type="dxa"/>
            <w:gridSpan w:val="4"/>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年度最高支付限额1.4万元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支付比例为70%</w:t>
            </w:r>
          </w:p>
        </w:tc>
      </w:tr>
      <w:tr>
        <w:tblPrEx>
          <w:tblCellMar>
            <w:top w:w="0" w:type="dxa"/>
            <w:left w:w="108" w:type="dxa"/>
            <w:bottom w:w="0" w:type="dxa"/>
            <w:right w:w="108" w:type="dxa"/>
          </w:tblCellMar>
        </w:tblPrEx>
        <w:trPr>
          <w:trHeight w:val="880" w:hRule="atLeast"/>
          <w:jc w:val="center"/>
        </w:trPr>
        <w:tc>
          <w:tcPr>
            <w:tcW w:w="11399"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注：</w:t>
            </w:r>
            <w:r>
              <w:rPr>
                <w:rFonts w:hint="default" w:ascii="仿宋" w:hAnsi="仿宋" w:eastAsia="仿宋" w:cs="仿宋"/>
                <w:color w:val="auto"/>
                <w:sz w:val="24"/>
                <w:szCs w:val="24"/>
              </w:rPr>
              <w:t>1.</w:t>
            </w:r>
            <w:r>
              <w:rPr>
                <w:rFonts w:hint="eastAsia" w:ascii="仿宋" w:hAnsi="仿宋" w:eastAsia="仿宋" w:cs="仿宋"/>
                <w:color w:val="auto"/>
                <w:kern w:val="2"/>
                <w:sz w:val="24"/>
                <w:szCs w:val="24"/>
                <w:lang w:val="en-US" w:eastAsia="zh-CN" w:bidi="ar"/>
              </w:rPr>
              <w:t>一个年度内，血液滤过和血液灌流两项治疗合计不超过12次。</w:t>
            </w:r>
          </w:p>
          <w:p>
            <w:pPr>
              <w:keepNext w:val="0"/>
              <w:keepLines w:val="0"/>
              <w:widowControl w:val="0"/>
              <w:numPr>
                <w:ilvl w:val="0"/>
                <w:numId w:val="2"/>
              </w:numPr>
              <w:suppressLineNumbers w:val="0"/>
              <w:autoSpaceDE w:val="0"/>
              <w:autoSpaceDN/>
              <w:adjustRightInd w:val="0"/>
              <w:snapToGrid w:val="0"/>
              <w:spacing w:before="0" w:beforeAutospacing="0" w:after="0" w:afterAutospacing="0"/>
              <w:ind w:left="480" w:leftChars="0" w:right="0" w:rightChars="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肝、肾、肺、心脏移植术后抗排异治疗的，同一患者进行多个（次）器官移植的，以最后一个（次）器官移植时间计算门诊年度最高支付限额，并执行单个器官移植抗排异治疗标准。</w:t>
            </w:r>
          </w:p>
          <w:p>
            <w:pPr>
              <w:keepNext w:val="0"/>
              <w:keepLines w:val="0"/>
              <w:widowControl w:val="0"/>
              <w:numPr>
                <w:ilvl w:val="0"/>
                <w:numId w:val="2"/>
              </w:numPr>
              <w:suppressLineNumbers w:val="0"/>
              <w:autoSpaceDE w:val="0"/>
              <w:autoSpaceDN/>
              <w:adjustRightInd w:val="0"/>
              <w:snapToGrid w:val="0"/>
              <w:spacing w:before="0" w:beforeAutospacing="0" w:after="0" w:afterAutospacing="0"/>
              <w:ind w:left="480" w:leftChars="0" w:right="0" w:rightChars="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恶性肿瘤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血友病、再生障碍性贫血、系统性红斑狼疮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糖尿病胰岛素治疗</w:t>
            </w:r>
            <w:r>
              <w:rPr>
                <w:rFonts w:hint="eastAsia" w:ascii="仿宋" w:hAnsi="仿宋" w:eastAsia="仿宋" w:cs="仿宋"/>
                <w:color w:val="auto"/>
                <w:sz w:val="24"/>
                <w:szCs w:val="24"/>
                <w:lang w:eastAsia="zh-CN"/>
              </w:rPr>
              <w:t>的患者在哈尔滨医科大学附属第一、二、四院和黑龙江省医院门诊治疗时，执行市属三级定点医疗机构住院比例标准；血液透析门诊治疗中按照住院比例标准支付项目，也按此标准执行。</w:t>
            </w:r>
          </w:p>
          <w:p>
            <w:pPr>
              <w:keepNext w:val="0"/>
              <w:keepLines w:val="0"/>
              <w:widowControl w:val="0"/>
              <w:numPr>
                <w:ilvl w:val="0"/>
                <w:numId w:val="2"/>
              </w:numPr>
              <w:suppressLineNumbers w:val="0"/>
              <w:autoSpaceDE w:val="0"/>
              <w:autoSpaceDN/>
              <w:adjustRightInd w:val="0"/>
              <w:snapToGrid w:val="0"/>
              <w:spacing w:before="0" w:beforeAutospacing="0" w:after="0" w:afterAutospacing="0"/>
              <w:ind w:left="480" w:leftChars="0" w:right="0" w:rightChars="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门诊特殊疾病患者根据病情需要选定一所特殊疾病门诊定点医疗机构进行治疗，发生的与本人病情相关的政策范围内医疗费用纳入统筹金支付范围，不设起付标准，统筹金按相应病种支付比例予以支付，并统一计入医疗保险年度最高支付限额内。</w:t>
            </w:r>
          </w:p>
        </w:tc>
      </w:tr>
    </w:tbl>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门诊慢性病待遇</w:t>
      </w:r>
    </w:p>
    <w:tbl>
      <w:tblPr>
        <w:tblStyle w:val="6"/>
        <w:tblW w:w="10076" w:type="dxa"/>
        <w:jc w:val="center"/>
        <w:tblLayout w:type="fixed"/>
        <w:tblCellMar>
          <w:top w:w="0" w:type="dxa"/>
          <w:left w:w="108" w:type="dxa"/>
          <w:bottom w:w="0" w:type="dxa"/>
          <w:right w:w="108" w:type="dxa"/>
        </w:tblCellMar>
      </w:tblPr>
      <w:tblGrid>
        <w:gridCol w:w="957"/>
        <w:gridCol w:w="5081"/>
        <w:gridCol w:w="1133"/>
        <w:gridCol w:w="1461"/>
        <w:gridCol w:w="1444"/>
      </w:tblGrid>
      <w:tr>
        <w:tblPrEx>
          <w:tblCellMar>
            <w:top w:w="0" w:type="dxa"/>
            <w:left w:w="108" w:type="dxa"/>
            <w:bottom w:w="0" w:type="dxa"/>
            <w:right w:w="108" w:type="dxa"/>
          </w:tblCellMar>
        </w:tblPrEx>
        <w:trPr>
          <w:trHeight w:val="1008"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门诊慢性病病种</w:t>
            </w:r>
          </w:p>
        </w:tc>
        <w:tc>
          <w:tcPr>
            <w:tcW w:w="113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统筹基金支付比例</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每人每季度，统筹基金最高支付限额</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一个年度内，统筹基金最高支付限额</w:t>
            </w: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高血压病合并症</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70%</w:t>
            </w:r>
          </w:p>
        </w:tc>
        <w:tc>
          <w:tcPr>
            <w:tcW w:w="146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400元</w:t>
            </w:r>
          </w:p>
        </w:tc>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1600元</w:t>
            </w: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糖尿病合并症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脑血管意外偏瘫（外伤性脑出血除外）</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重症冠心病（心功能不全3级以上）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91"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eastAsia="zh-CN"/>
              </w:rPr>
              <w:t>器官移植术后的抗排异治疗（肝、肾、肺、心脏移植）</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肺源性心脏病（慢性心力衰竭或慢性呼吸衰竭）</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慢性阻塞性肺疾病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扩张型心肌病</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房颤</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癫痫</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真性红细胞增多症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肝豆状核变性</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慢性肾功能不全（Ⅲ期以上）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风湿性心脏病（心功能不全3级以上）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帕金森氏病或帕金森氏病综合症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肝硬化</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重症肌无力</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类风湿性关节炎（功能</w:t>
            </w:r>
            <w:r>
              <w:rPr>
                <w:rFonts w:hint="eastAsia" w:ascii="仿宋" w:hAnsi="仿宋" w:eastAsia="仿宋" w:cs="仿宋"/>
                <w:color w:val="auto"/>
                <w:sz w:val="24"/>
                <w:szCs w:val="24"/>
                <w:lang w:val="en-US" w:eastAsia="zh-CN"/>
              </w:rPr>
              <w:t>3级以上</w:t>
            </w:r>
            <w:r>
              <w:rPr>
                <w:rFonts w:hint="eastAsia" w:ascii="仿宋" w:hAnsi="仿宋" w:eastAsia="仿宋" w:cs="仿宋"/>
                <w:color w:val="auto"/>
                <w:sz w:val="24"/>
                <w:szCs w:val="24"/>
                <w:lang w:eastAsia="zh-CN"/>
              </w:rPr>
              <w:t>）</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慢性病毒性肝炎</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布鲁氏菌病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艾滋病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支气管哮喘</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阿尔茨海默症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冠状动脉支架术后药物治疗</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冠状动脉搭桥术后药物治疗</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银屑病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4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子宫内膜异位症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lang w:eastAsia="zh-CN"/>
              </w:rPr>
            </w:pPr>
          </w:p>
        </w:tc>
      </w:tr>
      <w:tr>
        <w:tblPrEx>
          <w:tblCellMar>
            <w:top w:w="0" w:type="dxa"/>
            <w:left w:w="108" w:type="dxa"/>
            <w:bottom w:w="0" w:type="dxa"/>
            <w:right w:w="108" w:type="dxa"/>
          </w:tblCellMar>
        </w:tblPrEx>
        <w:trPr>
          <w:trHeight w:val="1223" w:hRule="atLeast"/>
          <w:jc w:val="center"/>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ind w:left="960" w:leftChars="0" w:hanging="960" w:hanging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1、门诊慢性病患者在定点医疗机构或定点零售药店发生的政策范围内医疗费用纳入统筹基金支付范围，统筹基金支付实行季度限额管理，不设起付标准，不累计、不滚存、不结转，统一计入医疗保险年度最高支付限额内。</w:t>
            </w:r>
          </w:p>
          <w:p>
            <w:pPr>
              <w:keepNext w:val="0"/>
              <w:keepLines w:val="0"/>
              <w:pageBreakBefore w:val="0"/>
              <w:widowControl/>
              <w:numPr>
                <w:ilvl w:val="0"/>
                <w:numId w:val="3"/>
              </w:numPr>
              <w:kinsoku/>
              <w:wordWrap/>
              <w:overflowPunct/>
              <w:topLinePunct w:val="0"/>
              <w:autoSpaceDE/>
              <w:autoSpaceDN/>
              <w:bidi w:val="0"/>
              <w:adjustRightInd/>
              <w:snapToGrid/>
              <w:spacing w:after="0"/>
              <w:ind w:left="500" w:lef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同时患有两种或以上病种的，每人每季度统筹基金支付增加100元。</w:t>
            </w:r>
          </w:p>
        </w:tc>
      </w:tr>
    </w:tbl>
    <w:p>
      <w:pPr>
        <w:ind w:firstLine="643" w:firstLineChars="200"/>
        <w:jc w:val="left"/>
        <w:rPr>
          <w:rFonts w:hint="eastAsia" w:ascii="仿宋" w:hAnsi="仿宋" w:eastAsia="仿宋" w:cs="仿宋"/>
          <w:b/>
          <w:bCs/>
          <w:color w:val="auto"/>
          <w:sz w:val="32"/>
          <w:szCs w:val="32"/>
          <w:vertAlign w:val="baseline"/>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普通门诊待遇</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673"/>
        <w:gridCol w:w="170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4" w:type="dxa"/>
            <w:vMerge w:val="restart"/>
            <w:vAlign w:val="center"/>
          </w:tcPr>
          <w:p>
            <w:pPr>
              <w:widowControl w:val="0"/>
              <w:jc w:val="center"/>
              <w:rPr>
                <w:rFonts w:hint="eastAsia" w:ascii="仿宋" w:hAnsi="仿宋" w:eastAsia="仿宋" w:cs="仿宋"/>
                <w:b w:val="0"/>
                <w:bCs w:val="0"/>
                <w:color w:val="auto"/>
                <w:sz w:val="24"/>
                <w:szCs w:val="24"/>
                <w:vertAlign w:val="baseline"/>
                <w:lang w:eastAsia="zh-CN"/>
              </w:rPr>
            </w:pPr>
          </w:p>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医疗机构等级</w:t>
            </w:r>
          </w:p>
        </w:tc>
        <w:tc>
          <w:tcPr>
            <w:tcW w:w="1673" w:type="dxa"/>
            <w:vMerge w:val="restart"/>
            <w:vAlign w:val="center"/>
          </w:tcPr>
          <w:p>
            <w:pPr>
              <w:widowControl w:val="0"/>
              <w:jc w:val="center"/>
              <w:rPr>
                <w:rFonts w:hint="eastAsia" w:ascii="仿宋" w:hAnsi="仿宋" w:eastAsia="仿宋" w:cs="仿宋"/>
                <w:b w:val="0"/>
                <w:bCs w:val="0"/>
                <w:color w:val="auto"/>
                <w:sz w:val="24"/>
                <w:szCs w:val="24"/>
                <w:vertAlign w:val="baseline"/>
                <w:lang w:eastAsia="zh-CN"/>
              </w:rPr>
            </w:pPr>
          </w:p>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起付标准（元）</w:t>
            </w:r>
          </w:p>
        </w:tc>
        <w:tc>
          <w:tcPr>
            <w:tcW w:w="5122" w:type="dxa"/>
            <w:gridSpan w:val="2"/>
            <w:vAlign w:val="center"/>
          </w:tcPr>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普通门诊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4" w:type="dxa"/>
            <w:vMerge w:val="continue"/>
            <w:vAlign w:val="center"/>
          </w:tcPr>
          <w:p>
            <w:pPr>
              <w:widowControl w:val="0"/>
              <w:jc w:val="center"/>
              <w:rPr>
                <w:rFonts w:hint="eastAsia" w:ascii="仿宋" w:hAnsi="仿宋" w:eastAsia="仿宋" w:cs="仿宋"/>
                <w:b w:val="0"/>
                <w:bCs w:val="0"/>
                <w:color w:val="auto"/>
                <w:sz w:val="24"/>
                <w:szCs w:val="24"/>
                <w:vertAlign w:val="baseline"/>
                <w:lang w:eastAsia="zh-CN"/>
              </w:rPr>
            </w:pPr>
          </w:p>
        </w:tc>
        <w:tc>
          <w:tcPr>
            <w:tcW w:w="1673" w:type="dxa"/>
            <w:vMerge w:val="continue"/>
            <w:vAlign w:val="center"/>
          </w:tcPr>
          <w:p>
            <w:pPr>
              <w:widowControl w:val="0"/>
              <w:jc w:val="center"/>
              <w:rPr>
                <w:rFonts w:hint="eastAsia" w:ascii="仿宋" w:hAnsi="仿宋" w:eastAsia="仿宋" w:cs="仿宋"/>
                <w:b w:val="0"/>
                <w:bCs w:val="0"/>
                <w:color w:val="auto"/>
                <w:sz w:val="24"/>
                <w:szCs w:val="24"/>
                <w:vertAlign w:val="baseline"/>
                <w:lang w:eastAsia="zh-CN"/>
              </w:rPr>
            </w:pPr>
          </w:p>
        </w:tc>
        <w:tc>
          <w:tcPr>
            <w:tcW w:w="1700" w:type="dxa"/>
            <w:vAlign w:val="center"/>
          </w:tcPr>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统筹基金支付比例</w:t>
            </w:r>
          </w:p>
        </w:tc>
        <w:tc>
          <w:tcPr>
            <w:tcW w:w="3422" w:type="dxa"/>
            <w:vAlign w:val="center"/>
          </w:tcPr>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一个年度内，统筹基金最高支付限额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4" w:type="dxa"/>
            <w:vAlign w:val="center"/>
          </w:tcPr>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一级及无等级</w:t>
            </w:r>
          </w:p>
        </w:tc>
        <w:tc>
          <w:tcPr>
            <w:tcW w:w="1673" w:type="dxa"/>
            <w:vMerge w:val="restart"/>
            <w:vAlign w:val="center"/>
          </w:tcPr>
          <w:p>
            <w:pPr>
              <w:widowControl w:val="0"/>
              <w:jc w:val="center"/>
              <w:rPr>
                <w:rFonts w:hint="eastAsia" w:ascii="仿宋" w:hAnsi="仿宋" w:eastAsia="仿宋" w:cs="仿宋"/>
                <w:b w:val="0"/>
                <w:bCs w:val="0"/>
                <w:color w:val="auto"/>
                <w:sz w:val="24"/>
                <w:szCs w:val="24"/>
                <w:vertAlign w:val="baseline"/>
                <w:lang w:val="en-US" w:eastAsia="zh-CN"/>
              </w:rPr>
            </w:pPr>
          </w:p>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0元</w:t>
            </w:r>
          </w:p>
        </w:tc>
        <w:tc>
          <w:tcPr>
            <w:tcW w:w="1700" w:type="dxa"/>
            <w:vAlign w:val="center"/>
          </w:tcPr>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70%</w:t>
            </w:r>
          </w:p>
        </w:tc>
        <w:tc>
          <w:tcPr>
            <w:tcW w:w="3422" w:type="dxa"/>
            <w:vMerge w:val="restart"/>
            <w:vAlign w:val="center"/>
          </w:tcPr>
          <w:p>
            <w:pPr>
              <w:widowControl w:val="0"/>
              <w:jc w:val="center"/>
              <w:rPr>
                <w:rFonts w:hint="eastAsia" w:ascii="仿宋" w:hAnsi="仿宋" w:eastAsia="仿宋" w:cs="仿宋"/>
                <w:b w:val="0"/>
                <w:bCs w:val="0"/>
                <w:color w:val="auto"/>
                <w:sz w:val="24"/>
                <w:szCs w:val="24"/>
                <w:vertAlign w:val="baseline"/>
                <w:lang w:val="en-US" w:eastAsia="zh-CN"/>
              </w:rPr>
            </w:pPr>
          </w:p>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4" w:type="dxa"/>
            <w:vAlign w:val="center"/>
          </w:tcPr>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eastAsia="zh-CN"/>
              </w:rPr>
              <w:t>二级</w:t>
            </w:r>
          </w:p>
        </w:tc>
        <w:tc>
          <w:tcPr>
            <w:tcW w:w="1673" w:type="dxa"/>
            <w:vMerge w:val="continue"/>
            <w:vAlign w:val="center"/>
          </w:tcPr>
          <w:p>
            <w:pPr>
              <w:widowControl w:val="0"/>
              <w:jc w:val="center"/>
              <w:rPr>
                <w:rFonts w:hint="eastAsia" w:ascii="仿宋" w:hAnsi="仿宋" w:eastAsia="仿宋" w:cs="仿宋"/>
                <w:b w:val="0"/>
                <w:bCs w:val="0"/>
                <w:color w:val="auto"/>
                <w:sz w:val="24"/>
                <w:szCs w:val="24"/>
                <w:vertAlign w:val="baseline"/>
              </w:rPr>
            </w:pPr>
          </w:p>
        </w:tc>
        <w:tc>
          <w:tcPr>
            <w:tcW w:w="1700" w:type="dxa"/>
            <w:vAlign w:val="center"/>
          </w:tcPr>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3422" w:type="dxa"/>
            <w:vMerge w:val="continue"/>
          </w:tcPr>
          <w:p>
            <w:pPr>
              <w:widowControl w:val="0"/>
              <w:jc w:val="left"/>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64" w:type="dxa"/>
            <w:vAlign w:val="center"/>
          </w:tcPr>
          <w:p>
            <w:pPr>
              <w:widowControl w:val="0"/>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三级</w:t>
            </w:r>
          </w:p>
        </w:tc>
        <w:tc>
          <w:tcPr>
            <w:tcW w:w="1673" w:type="dxa"/>
            <w:vMerge w:val="continue"/>
            <w:vAlign w:val="center"/>
          </w:tcPr>
          <w:p>
            <w:pPr>
              <w:widowControl w:val="0"/>
              <w:jc w:val="center"/>
              <w:rPr>
                <w:rFonts w:hint="eastAsia" w:ascii="仿宋" w:hAnsi="仿宋" w:eastAsia="仿宋" w:cs="仿宋"/>
                <w:b w:val="0"/>
                <w:bCs w:val="0"/>
                <w:color w:val="auto"/>
                <w:sz w:val="24"/>
                <w:szCs w:val="24"/>
                <w:vertAlign w:val="baseline"/>
              </w:rPr>
            </w:pPr>
          </w:p>
        </w:tc>
        <w:tc>
          <w:tcPr>
            <w:tcW w:w="1700" w:type="dxa"/>
            <w:vAlign w:val="center"/>
          </w:tcPr>
          <w:p>
            <w:pPr>
              <w:widowControl w:val="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3422" w:type="dxa"/>
            <w:vMerge w:val="continue"/>
          </w:tcPr>
          <w:p>
            <w:pPr>
              <w:widowControl w:val="0"/>
              <w:jc w:val="left"/>
              <w:rPr>
                <w:rFonts w:hint="eastAsia" w:ascii="仿宋" w:hAnsi="仿宋" w:eastAsia="仿宋" w:cs="仿宋"/>
                <w:b w:val="0"/>
                <w:bCs w:val="0"/>
                <w:color w:val="auto"/>
                <w:sz w:val="32"/>
                <w:szCs w:val="32"/>
                <w:vertAlign w:val="baseline"/>
              </w:rPr>
            </w:pPr>
          </w:p>
        </w:tc>
      </w:tr>
    </w:tbl>
    <w:p>
      <w:pPr>
        <w:ind w:firstLine="643" w:firstLineChars="200"/>
        <w:jc w:val="left"/>
        <w:rPr>
          <w:rFonts w:hint="eastAsia" w:ascii="仿宋" w:hAnsi="仿宋" w:eastAsia="仿宋" w:cs="仿宋"/>
          <w:b/>
          <w:bCs/>
          <w:color w:val="auto"/>
          <w:sz w:val="32"/>
          <w:szCs w:val="32"/>
        </w:rPr>
      </w:pPr>
    </w:p>
    <w:p>
      <w:pPr>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生育医疗待遇</w:t>
      </w:r>
    </w:p>
    <w:p>
      <w:pPr>
        <w:spacing w:line="600" w:lineRule="exact"/>
        <w:ind w:firstLine="640" w:firstLineChars="200"/>
        <w:contextualSpacing/>
        <w:jc w:val="left"/>
        <w:rPr>
          <w:rFonts w:hint="eastAsia" w:ascii="仿宋" w:hAnsi="仿宋" w:eastAsia="仿宋" w:cs="仿宋"/>
          <w:color w:val="auto"/>
          <w:sz w:val="32"/>
          <w:szCs w:val="32"/>
          <w:highlight w:val="magenta"/>
        </w:rPr>
      </w:pPr>
      <w:r>
        <w:rPr>
          <w:rFonts w:hint="eastAsia" w:ascii="仿宋" w:hAnsi="仿宋" w:eastAsia="仿宋" w:cs="仿宋"/>
          <w:strike w:val="0"/>
          <w:dstrike w:val="0"/>
          <w:color w:val="auto"/>
          <w:sz w:val="32"/>
          <w:szCs w:val="32"/>
          <w:highlight w:val="none"/>
          <w:lang w:eastAsia="zh-CN"/>
        </w:rPr>
        <w:t>参保女性居民</w:t>
      </w:r>
      <w:r>
        <w:rPr>
          <w:rFonts w:hint="eastAsia" w:ascii="仿宋" w:hAnsi="仿宋" w:eastAsia="仿宋" w:cs="仿宋"/>
          <w:color w:val="auto"/>
          <w:sz w:val="32"/>
          <w:szCs w:val="32"/>
          <w:highlight w:val="none"/>
          <w:lang w:eastAsia="zh-CN"/>
        </w:rPr>
        <w:t>在定点医疗机构住院分娩发生的生育医疗费用纳入统筹支付范围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实行定额结算，</w:t>
      </w:r>
      <w:r>
        <w:rPr>
          <w:rFonts w:hint="eastAsia" w:ascii="仿宋" w:hAnsi="仿宋" w:eastAsia="仿宋" w:cs="仿宋"/>
          <w:color w:val="auto"/>
          <w:sz w:val="32"/>
          <w:szCs w:val="32"/>
          <w:highlight w:val="none"/>
        </w:rPr>
        <w:t>支付标准为自然分娩900元、剖宫产1300元</w:t>
      </w:r>
      <w:r>
        <w:rPr>
          <w:rFonts w:hint="eastAsia" w:ascii="仿宋" w:hAnsi="仿宋" w:eastAsia="仿宋" w:cs="仿宋"/>
          <w:color w:val="auto"/>
          <w:sz w:val="32"/>
          <w:szCs w:val="32"/>
          <w:highlight w:val="none"/>
          <w:lang w:eastAsia="zh-CN"/>
        </w:rPr>
        <w:t>。剖宫产合并其他疾病手术发生的费用，统筹基金支付标准为</w:t>
      </w:r>
      <w:r>
        <w:rPr>
          <w:rFonts w:hint="eastAsia" w:ascii="仿宋" w:hAnsi="仿宋" w:eastAsia="仿宋" w:cs="仿宋"/>
          <w:color w:val="auto"/>
          <w:sz w:val="32"/>
          <w:szCs w:val="32"/>
          <w:highlight w:val="none"/>
          <w:lang w:val="en-US" w:eastAsia="zh-CN"/>
        </w:rPr>
        <w:t>1400元</w:t>
      </w:r>
      <w:r>
        <w:rPr>
          <w:rFonts w:hint="eastAsia" w:ascii="仿宋" w:hAnsi="仿宋" w:eastAsia="仿宋" w:cs="仿宋"/>
          <w:color w:val="auto"/>
          <w:sz w:val="32"/>
          <w:szCs w:val="32"/>
          <w:highlight w:val="none"/>
        </w:rPr>
        <w:t>。</w:t>
      </w:r>
    </w:p>
    <w:p>
      <w:pPr>
        <w:spacing w:line="600" w:lineRule="exact"/>
        <w:ind w:firstLine="640" w:firstLineChars="200"/>
        <w:contextualSpacing/>
        <w:jc w:val="left"/>
        <w:rPr>
          <w:rFonts w:hint="eastAsia" w:ascii="仿宋" w:hAnsi="仿宋" w:eastAsia="仿宋" w:cs="仿宋"/>
          <w:b/>
          <w:color w:val="auto"/>
          <w:sz w:val="32"/>
          <w:szCs w:val="32"/>
        </w:rPr>
      </w:pPr>
      <w:r>
        <w:rPr>
          <w:rFonts w:hint="eastAsia" w:ascii="仿宋" w:hAnsi="仿宋" w:eastAsia="仿宋" w:cs="仿宋"/>
          <w:color w:val="auto"/>
          <w:sz w:val="32"/>
          <w:szCs w:val="32"/>
          <w:highlight w:val="none"/>
        </w:rPr>
        <w:t>注：对参保居民配偶已经按职工生育</w:t>
      </w:r>
      <w:r>
        <w:rPr>
          <w:rFonts w:hint="eastAsia" w:ascii="仿宋" w:hAnsi="仿宋" w:eastAsia="仿宋" w:cs="仿宋"/>
          <w:color w:val="auto"/>
          <w:sz w:val="32"/>
          <w:szCs w:val="32"/>
          <w:highlight w:val="none"/>
          <w:lang w:eastAsia="zh-CN"/>
        </w:rPr>
        <w:t>政策享受</w:t>
      </w:r>
      <w:r>
        <w:rPr>
          <w:rFonts w:hint="eastAsia" w:ascii="仿宋" w:hAnsi="仿宋" w:eastAsia="仿宋" w:cs="仿宋"/>
          <w:color w:val="auto"/>
          <w:sz w:val="32"/>
          <w:szCs w:val="32"/>
          <w:highlight w:val="none"/>
        </w:rPr>
        <w:t>生育</w:t>
      </w:r>
      <w:r>
        <w:rPr>
          <w:rFonts w:hint="eastAsia" w:ascii="仿宋" w:hAnsi="仿宋" w:eastAsia="仿宋" w:cs="仿宋"/>
          <w:color w:val="auto"/>
          <w:sz w:val="32"/>
          <w:szCs w:val="32"/>
          <w:highlight w:val="none"/>
          <w:lang w:eastAsia="zh-CN"/>
        </w:rPr>
        <w:t>医疗费待遇</w:t>
      </w:r>
      <w:r>
        <w:rPr>
          <w:rFonts w:hint="eastAsia" w:ascii="仿宋" w:hAnsi="仿宋" w:eastAsia="仿宋" w:cs="仿宋"/>
          <w:color w:val="auto"/>
          <w:sz w:val="32"/>
          <w:szCs w:val="32"/>
          <w:highlight w:val="none"/>
        </w:rPr>
        <w:t>的，不再享受城乡居民医保生育医疗待遇。</w:t>
      </w:r>
    </w:p>
    <w:p>
      <w:pPr>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意外伤害门诊医疗待遇</w:t>
      </w:r>
    </w:p>
    <w:p>
      <w:pPr>
        <w:spacing w:line="600" w:lineRule="exact"/>
        <w:ind w:firstLine="640" w:firstLineChars="200"/>
        <w:contextualSpacing/>
        <w:jc w:val="left"/>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eastAsia="zh-CN"/>
        </w:rPr>
        <w:t>学生儿童因意外伤害在定点医院发生的统筹支付范围内门诊医疗费用，起付标准为</w:t>
      </w:r>
      <w:r>
        <w:rPr>
          <w:rFonts w:hint="eastAsia" w:ascii="仿宋" w:hAnsi="仿宋" w:eastAsia="仿宋" w:cs="仿宋"/>
          <w:color w:val="auto"/>
          <w:sz w:val="32"/>
          <w:szCs w:val="32"/>
          <w:lang w:val="en-US" w:eastAsia="zh-CN"/>
        </w:rPr>
        <w:t>100元，统筹基金支付比例为50%，一个年度内最多支付1000元。</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九、高血压、糖尿病门诊医疗待遇（简称“两病门诊”）</w:t>
      </w:r>
    </w:p>
    <w:p>
      <w:pPr>
        <w:spacing w:line="600" w:lineRule="exact"/>
        <w:ind w:firstLine="576" w:firstLineChars="200"/>
        <w:contextualSpacing/>
        <w:jc w:val="both"/>
        <w:rPr>
          <w:rFonts w:hint="eastAsia" w:ascii="仿宋" w:hAnsi="仿宋" w:eastAsia="仿宋" w:cs="仿宋"/>
          <w:color w:val="auto"/>
          <w:w w:val="90"/>
          <w:sz w:val="32"/>
          <w:szCs w:val="32"/>
          <w:lang w:val="en-US" w:eastAsia="zh-CN"/>
        </w:rPr>
      </w:pPr>
      <w:r>
        <w:rPr>
          <w:rFonts w:hint="eastAsia" w:ascii="仿宋" w:hAnsi="仿宋" w:eastAsia="仿宋" w:cs="仿宋"/>
          <w:color w:val="auto"/>
          <w:w w:val="90"/>
          <w:sz w:val="32"/>
          <w:szCs w:val="32"/>
          <w:lang w:val="en-US" w:eastAsia="zh-CN"/>
        </w:rPr>
        <w:t>在“两病”定点医院门诊发生的降血压、降血糖药品费用由统筹基金支付，不设起付标准，二级定点医疗机构政策范围内支付比例为55%、二级以下定点基层医疗机构支付比例为60%，高血压患者降血压用药年度统筹基金最高支付限额为400元，糖尿病患者降血糖用药年度统筹基金最高支付限额为600元。</w:t>
      </w:r>
    </w:p>
    <w:p>
      <w:pPr>
        <w:spacing w:line="600" w:lineRule="exact"/>
        <w:ind w:firstLine="289" w:firstLineChars="100"/>
        <w:contextualSpacing/>
        <w:jc w:val="left"/>
        <w:rPr>
          <w:rFonts w:hint="eastAsia" w:ascii="仿宋" w:hAnsi="仿宋" w:eastAsia="仿宋" w:cs="仿宋"/>
          <w:b w:val="0"/>
          <w:bCs w:val="0"/>
          <w:color w:val="auto"/>
          <w:w w:val="90"/>
          <w:sz w:val="32"/>
          <w:szCs w:val="32"/>
          <w:lang w:val="en-US" w:eastAsia="zh-CN"/>
        </w:rPr>
      </w:pPr>
      <w:r>
        <w:rPr>
          <w:rFonts w:hint="eastAsia" w:ascii="仿宋" w:hAnsi="仿宋" w:eastAsia="仿宋" w:cs="仿宋"/>
          <w:b/>
          <w:bCs/>
          <w:color w:val="auto"/>
          <w:w w:val="90"/>
          <w:sz w:val="32"/>
          <w:szCs w:val="32"/>
          <w:lang w:val="en-US" w:eastAsia="zh-CN"/>
        </w:rPr>
        <w:t>注：</w:t>
      </w:r>
      <w:r>
        <w:rPr>
          <w:rFonts w:hint="eastAsia" w:ascii="仿宋" w:hAnsi="仿宋" w:eastAsia="仿宋" w:cs="仿宋"/>
          <w:b w:val="0"/>
          <w:bCs w:val="0"/>
          <w:color w:val="auto"/>
          <w:w w:val="90"/>
          <w:sz w:val="32"/>
          <w:szCs w:val="32"/>
          <w:lang w:val="en-US" w:eastAsia="zh-CN"/>
        </w:rPr>
        <w:t>1.已经享受统筹地区门诊慢性病待遇的参保人员继续执行现有的门诊慢性病保障政策，不再重复享受“两病”待遇。</w:t>
      </w:r>
    </w:p>
    <w:p>
      <w:pPr>
        <w:spacing w:line="600" w:lineRule="exact"/>
        <w:ind w:firstLine="576" w:firstLineChars="200"/>
        <w:contextualSpacing/>
        <w:jc w:val="left"/>
        <w:rPr>
          <w:rFonts w:hint="eastAsia" w:ascii="仿宋" w:hAnsi="仿宋" w:eastAsia="仿宋" w:cs="仿宋"/>
          <w:b w:val="0"/>
          <w:bCs w:val="0"/>
          <w:color w:val="auto"/>
          <w:w w:val="90"/>
          <w:sz w:val="32"/>
          <w:szCs w:val="32"/>
          <w:lang w:val="en-US" w:eastAsia="zh-CN"/>
        </w:rPr>
      </w:pPr>
      <w:r>
        <w:rPr>
          <w:rFonts w:hint="eastAsia" w:ascii="仿宋" w:hAnsi="仿宋" w:eastAsia="仿宋" w:cs="仿宋"/>
          <w:b w:val="0"/>
          <w:bCs w:val="0"/>
          <w:color w:val="auto"/>
          <w:w w:val="90"/>
          <w:sz w:val="32"/>
          <w:szCs w:val="32"/>
          <w:lang w:val="en-US" w:eastAsia="zh-CN"/>
        </w:rPr>
        <w:t>2.对因病情需要住院就医的“两病”参保人员，住院期间的医疗费用按住院报销政策执行，住院期间不能同时发生“两病”门诊医疗费用。</w:t>
      </w:r>
    </w:p>
    <w:p>
      <w:pPr>
        <w:spacing w:line="600" w:lineRule="exact"/>
        <w:contextualSpacing/>
        <w:jc w:val="left"/>
        <w:rPr>
          <w:rFonts w:hint="eastAsia" w:ascii="仿宋" w:hAnsi="仿宋" w:eastAsia="仿宋" w:cs="仿宋"/>
          <w:b w:val="0"/>
          <w:bCs w:val="0"/>
          <w:color w:val="auto"/>
          <w:w w:val="90"/>
          <w:sz w:val="32"/>
          <w:szCs w:val="32"/>
          <w:lang w:val="en-US" w:eastAsia="zh-CN"/>
        </w:rPr>
      </w:pPr>
      <w:r>
        <w:rPr>
          <w:rFonts w:hint="eastAsia" w:ascii="仿宋" w:hAnsi="仿宋" w:eastAsia="仿宋" w:cs="仿宋"/>
          <w:b/>
          <w:bCs/>
          <w:color w:val="auto"/>
          <w:w w:val="90"/>
          <w:sz w:val="32"/>
          <w:szCs w:val="32"/>
          <w:lang w:val="en-US" w:eastAsia="zh-CN"/>
        </w:rPr>
        <w:t xml:space="preserve">    </w:t>
      </w:r>
      <w:r>
        <w:rPr>
          <w:rFonts w:hint="eastAsia" w:ascii="仿宋" w:hAnsi="仿宋" w:eastAsia="仿宋" w:cs="仿宋"/>
          <w:b w:val="0"/>
          <w:bCs w:val="0"/>
          <w:color w:val="auto"/>
          <w:w w:val="90"/>
          <w:sz w:val="32"/>
          <w:szCs w:val="32"/>
          <w:lang w:val="en-US" w:eastAsia="zh-CN"/>
        </w:rPr>
        <w:t>3.“两病”患者可在本统筹区内任意二级及以下定点医疗机构购买“两病”药品，实行医保直接结算，“两病”患者只需支付应由个人负担的部分。</w:t>
      </w:r>
    </w:p>
    <w:p>
      <w:pPr>
        <w:spacing w:line="600" w:lineRule="exact"/>
        <w:ind w:firstLine="576"/>
        <w:contextualSpacing/>
        <w:jc w:val="left"/>
        <w:rPr>
          <w:rFonts w:hint="eastAsia" w:ascii="宋体" w:hAnsi="宋体" w:eastAsia="宋体" w:cs="宋体"/>
          <w:b/>
          <w:bCs/>
          <w:color w:val="auto"/>
          <w:sz w:val="44"/>
          <w:szCs w:val="44"/>
          <w:lang w:eastAsia="zh-CN"/>
        </w:rPr>
      </w:pPr>
      <w:r>
        <w:rPr>
          <w:rFonts w:hint="eastAsia" w:ascii="仿宋" w:hAnsi="仿宋" w:eastAsia="仿宋" w:cs="仿宋"/>
          <w:b w:val="0"/>
          <w:bCs w:val="0"/>
          <w:color w:val="auto"/>
          <w:w w:val="90"/>
          <w:sz w:val="32"/>
          <w:szCs w:val="32"/>
          <w:lang w:val="en-US" w:eastAsia="zh-CN"/>
        </w:rPr>
        <w:t>4.长期异地居住的，在“两病”未实行异地门诊直接结算前，由参保人先行垫付，再到参保地经办机构报销。</w:t>
      </w:r>
      <w:bookmarkStart w:id="0" w:name="_GoBack"/>
      <w:bookmarkEnd w:id="0"/>
    </w:p>
    <w:p>
      <w:pPr>
        <w:jc w:val="center"/>
        <w:rPr>
          <w:rFonts w:hint="eastAsia" w:ascii="宋体" w:hAnsi="宋体" w:eastAsia="宋体" w:cs="宋体"/>
          <w:b/>
          <w:bCs/>
          <w:color w:val="auto"/>
          <w:sz w:val="44"/>
          <w:szCs w:val="44"/>
          <w:lang w:eastAsia="zh-CN"/>
        </w:rPr>
      </w:pPr>
    </w:p>
    <w:p>
      <w:pPr>
        <w:jc w:val="left"/>
        <w:rPr>
          <w:rFonts w:hint="eastAsia" w:ascii="仿宋" w:hAnsi="仿宋" w:eastAsia="仿宋" w:cs="仿宋"/>
          <w:b w:val="0"/>
          <w:bCs w:val="0"/>
          <w:sz w:val="32"/>
          <w:szCs w:val="32"/>
          <w:lang w:eastAsia="zh-CN"/>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细黑简体">
    <w:altName w:val="华文细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2CB6"/>
    <w:multiLevelType w:val="singleLevel"/>
    <w:tmpl w:val="BEEE2CB6"/>
    <w:lvl w:ilvl="0" w:tentative="0">
      <w:start w:val="2"/>
      <w:numFmt w:val="decimal"/>
      <w:lvlText w:val="%1."/>
      <w:lvlJc w:val="left"/>
      <w:pPr>
        <w:tabs>
          <w:tab w:val="left" w:pos="312"/>
        </w:tabs>
        <w:ind w:left="480" w:leftChars="0" w:firstLine="0" w:firstLineChars="0"/>
      </w:pPr>
    </w:lvl>
  </w:abstractNum>
  <w:abstractNum w:abstractNumId="1">
    <w:nsid w:val="C67EEA85"/>
    <w:multiLevelType w:val="singleLevel"/>
    <w:tmpl w:val="C67EEA85"/>
    <w:lvl w:ilvl="0" w:tentative="0">
      <w:start w:val="2"/>
      <w:numFmt w:val="decimal"/>
      <w:suff w:val="nothing"/>
      <w:lvlText w:val="%1、"/>
      <w:lvlJc w:val="left"/>
      <w:pPr>
        <w:ind w:left="500" w:leftChars="0" w:firstLine="0" w:firstLineChars="0"/>
      </w:pPr>
    </w:lvl>
  </w:abstractNum>
  <w:abstractNum w:abstractNumId="2">
    <w:nsid w:val="15FB6684"/>
    <w:multiLevelType w:val="singleLevel"/>
    <w:tmpl w:val="15FB668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mI5MWE3YTkyOWRkYjE5OTQ3MWFkYjI1MjFhNTAifQ=="/>
  </w:docVars>
  <w:rsids>
    <w:rsidRoot w:val="00000000"/>
    <w:rsid w:val="0FFF2F91"/>
    <w:rsid w:val="16411B30"/>
    <w:rsid w:val="18ED3FAB"/>
    <w:rsid w:val="1AC91596"/>
    <w:rsid w:val="1AE479A2"/>
    <w:rsid w:val="1F4E2A7D"/>
    <w:rsid w:val="36262BD4"/>
    <w:rsid w:val="36D82C3F"/>
    <w:rsid w:val="37AF6FC0"/>
    <w:rsid w:val="37B7E511"/>
    <w:rsid w:val="3A482A9C"/>
    <w:rsid w:val="427938D8"/>
    <w:rsid w:val="456F6C5F"/>
    <w:rsid w:val="4C15710C"/>
    <w:rsid w:val="4EB2CFED"/>
    <w:rsid w:val="576A7C1C"/>
    <w:rsid w:val="5BBA6974"/>
    <w:rsid w:val="5DA211E8"/>
    <w:rsid w:val="6B4A5B63"/>
    <w:rsid w:val="6B6A7B8A"/>
    <w:rsid w:val="6BDF7FE9"/>
    <w:rsid w:val="6BFC1185"/>
    <w:rsid w:val="6EFF66E7"/>
    <w:rsid w:val="6F3A2FAC"/>
    <w:rsid w:val="739A0415"/>
    <w:rsid w:val="76DD695E"/>
    <w:rsid w:val="7DBD56A5"/>
    <w:rsid w:val="7EFF288D"/>
    <w:rsid w:val="7FA13D6E"/>
    <w:rsid w:val="7FCF3085"/>
    <w:rsid w:val="AA74091E"/>
    <w:rsid w:val="DDFF7734"/>
    <w:rsid w:val="DF5B574E"/>
    <w:rsid w:val="F1EE6843"/>
    <w:rsid w:val="F53976A7"/>
    <w:rsid w:val="F76D8D88"/>
    <w:rsid w:val="FB93DD77"/>
    <w:rsid w:val="FDFFFE80"/>
    <w:rsid w:val="FE7D8B41"/>
    <w:rsid w:val="FE9F39C7"/>
    <w:rsid w:val="FF752663"/>
    <w:rsid w:val="FFFF32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Body Text First Indent"/>
    <w:basedOn w:val="1"/>
    <w:qFormat/>
    <w:uiPriority w:val="0"/>
    <w:pPr>
      <w:ind w:firstLine="420" w:firstLineChars="100"/>
    </w:pPr>
    <w:rPr>
      <w:rFonts w:hint="eastAsia" w:ascii="宋体" w:hAnsi="宋体" w:eastAsia="宋体"/>
      <w:kern w:val="0"/>
      <w:szCs w:val="21"/>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default" w:ascii="方正兰亭细黑简体" w:hAnsi="方正兰亭细黑简体" w:eastAsia="方正兰亭细黑简体" w:cs="方正兰亭细黑简体"/>
      <w:b/>
      <w:bCs/>
      <w:color w:val="000000"/>
      <w:sz w:val="22"/>
      <w:szCs w:val="22"/>
      <w:u w:val="none"/>
    </w:rPr>
  </w:style>
  <w:style w:type="character" w:customStyle="1" w:styleId="10">
    <w:name w:val="font31"/>
    <w:basedOn w:val="8"/>
    <w:qFormat/>
    <w:uiPriority w:val="0"/>
    <w:rPr>
      <w:rFonts w:hint="eastAsia" w:ascii="宋体" w:hAnsi="宋体" w:eastAsia="宋体" w:cs="宋体"/>
      <w:color w:val="000000"/>
      <w:sz w:val="21"/>
      <w:szCs w:val="21"/>
      <w:u w:val="none"/>
    </w:rPr>
  </w:style>
  <w:style w:type="character" w:customStyle="1" w:styleId="11">
    <w:name w:val="font2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3043</Words>
  <Characters>3404</Characters>
  <Lines>0</Lines>
  <Paragraphs>0</Paragraphs>
  <TotalTime>16</TotalTime>
  <ScaleCrop>false</ScaleCrop>
  <LinksUpToDate>false</LinksUpToDate>
  <CharactersWithSpaces>3429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2023-04-07T00:39:00Z</dcterms:created>
  <dc:creator>admin</dc:creator>
  <cp:lastModifiedBy>于洪涛</cp:lastModifiedBy>
  <dcterms:modified xsi:type="dcterms:W3CDTF">2023-06-09T11:39:22Z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FB193712065A44B386192CE321FA1F5E</vt:lpwstr>
  </property>
</Properties>
</file>